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State Charitable Solicitation Registration Plan</w:t>
      </w:r>
    </w:p>
    <w:p>
      <w:r>
        <w:rPr>
          <w:b/>
        </w:rPr>
        <w:t>Effective date:</w:t>
      </w:r>
      <w:r>
        <w:t xml:space="preserve"> February 2026. Internal planning document.</w:t>
      </w:r>
    </w:p>
    <w:p>
      <w:pPr>
        <w:pStyle w:val="Heading2"/>
      </w:pPr>
      <w:r>
        <w:t>1. Register-Where-You-Solicit</w:t>
      </w:r>
    </w:p>
    <w:p>
      <w:r>
        <w:t>Forty (40) US states require charities that "solicit" (any ask, in</w:t>
      </w:r>
    </w:p>
    <w:p>
      <w:r>
        <w:t>any medium) to register in that state, plus annual renewals. We</w:t>
      </w:r>
    </w:p>
    <w:p>
      <w:r>
        <w:t>will register in the home state (NC) immediately and add additional</w:t>
      </w:r>
    </w:p>
    <w:p>
      <w:r>
        <w:t>states as our national fundraising begins.</w:t>
      </w:r>
    </w:p>
    <w:p>
      <w:pPr>
        <w:pStyle w:val="Heading2"/>
      </w:pPr>
      <w:r>
        <w:t>2. Home State Priority</w:t>
      </w:r>
    </w:p>
    <w:p>
      <w:pPr>
        <w:pStyle w:val="ListBullet"/>
      </w:pPr>
      <w:r>
        <w:rPr>
          <w:b/>
        </w:rPr>
        <w:t>North Carolina</w:t>
      </w:r>
      <w:r>
        <w:t xml:space="preserve"> — Charitable Solicitation Licensing Section,</w:t>
      </w:r>
    </w:p>
    <w:p>
      <w:r>
        <w:t>Form CSL-01. File within 30 days of first solicitation.</w:t>
      </w:r>
    </w:p>
    <w:p>
      <w:pPr>
        <w:pStyle w:val="Heading2"/>
      </w:pPr>
      <w:r>
        <w:t>3. Big Traffic States (Phase 2)</w:t>
      </w:r>
    </w:p>
    <w:p>
      <w:r>
        <w:t>Register within 30 days of first solicitation from residents of:</w:t>
      </w:r>
    </w:p>
    <w:p>
      <w:r>
        <w:t>CA, NY, FL, TX, IL, PA, MA, NJ, VA, MD, WA, GA.</w:t>
      </w:r>
    </w:p>
    <w:p>
      <w:pPr>
        <w:pStyle w:val="Heading2"/>
      </w:pPr>
      <w:r>
        <w:t>4. Disclosures</w:t>
      </w:r>
    </w:p>
    <w:p>
      <w:r>
        <w:t>Add the required disclosure block to fundraising materials, e.g.:</w:t>
      </w:r>
    </w:p>
    <w:p>
      <w:pPr>
        <w:ind w:left="288"/>
      </w:pPr>
      <w:r>
        <w:rPr>
          <w:i/>
          <w:color w:val="7C5316"/>
        </w:rPr>
        <w:t>**North Carolina:** A copy of the license is available for the</w:t>
      </w:r>
    </w:p>
    <w:p>
      <w:pPr>
        <w:ind w:left="288"/>
      </w:pPr>
      <w:r>
        <w:rPr>
          <w:i/>
          <w:color w:val="7C5316"/>
        </w:rPr>
        <w:t>asking at the address above.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**New York:** A copy of the latest annual report may be obtained</w:t>
      </w:r>
    </w:p>
    <w:p>
      <w:pPr>
        <w:ind w:left="288"/>
      </w:pPr>
      <w:r>
        <w:rPr>
          <w:i/>
          <w:color w:val="7C5316"/>
        </w:rPr>
        <w:t>from the organisation or from the Attorney General.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(Full block library maintained by counsel or a compliance vendor.)</w:t>
      </w:r>
    </w:p>
    <w:p>
      <w:pPr>
        <w:pStyle w:val="Heading2"/>
      </w:pPr>
      <w:r>
        <w:t>5. Vendor Option</w:t>
      </w:r>
    </w:p>
    <w:p>
      <w:r>
        <w:t>Engage a compliance vendor (Harbor Compliance, Labyrinth, or</w:t>
      </w:r>
    </w:p>
    <w:p>
      <w:r>
        <w:t>Foundation Group) for multi-state filings — typically $50–$150 per</w:t>
      </w:r>
    </w:p>
    <w:p>
      <w:r>
        <w:t>state per year plus one-time onboarding.</w:t>
      </w:r>
    </w:p>
    <w:p>
      <w:pPr>
        <w:pStyle w:val="Heading2"/>
      </w:pPr>
      <w:r>
        <w:t>6. Renewals</w:t>
      </w:r>
    </w:p>
    <w:p>
      <w:r>
        <w:t>Annual, offset from fiscal-year end. Calendar reminders set 60 days</w:t>
      </w:r>
    </w:p>
    <w:p>
      <w:r>
        <w:t>in advance of every renewal.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