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Trademark Filings Plan</w:t>
      </w:r>
    </w:p>
    <w:p>
      <w:r>
        <w:rPr>
          <w:b/>
        </w:rPr>
        <w:t>Effective date:</w:t>
      </w:r>
      <w:r>
        <w:t xml:space="preserve"> February 2026. Internal planning document.</w:t>
      </w:r>
    </w:p>
    <w:p>
      <w:pPr>
        <w:pStyle w:val="Heading2"/>
      </w:pPr>
      <w:r>
        <w:t>1. Marks to Register</w:t>
      </w:r>
    </w:p>
    <w:p>
      <w:pPr>
        <w:pStyle w:val="ListNumber"/>
      </w:pPr>
      <w:r>
        <w:rPr>
          <w:b/>
        </w:rPr>
        <w:t>BIRTHRIGHT FOUNDATION</w:t>
      </w:r>
      <w:r>
        <w:t xml:space="preserve"> — standard character (word mark) and</w:t>
      </w:r>
    </w:p>
    <w:p>
      <w:r>
        <w:t>the flame logo (design mark).</w:t>
      </w:r>
    </w:p>
    <w:p>
      <w:pPr>
        <w:pStyle w:val="ListNumber"/>
      </w:pPr>
      <w:r>
        <w:t>Slogans in active use.</w:t>
      </w:r>
    </w:p>
    <w:p>
      <w:pPr>
        <w:pStyle w:val="ListNumber"/>
      </w:pPr>
      <w:r>
        <w:t>Any workshop-specific brand that we intend to franchise.</w:t>
      </w:r>
    </w:p>
    <w:p>
      <w:pPr>
        <w:pStyle w:val="Heading2"/>
      </w:pPr>
      <w:r>
        <w:t>2. Classes</w:t>
      </w:r>
    </w:p>
    <w:p>
      <w:pPr>
        <w:pStyle w:val="ListBullet"/>
      </w:pPr>
      <w:r>
        <w:t>41 (Educational services — workshops, classes, retreats).</w:t>
      </w:r>
    </w:p>
    <w:p>
      <w:pPr>
        <w:pStyle w:val="ListBullet"/>
      </w:pPr>
      <w:r>
        <w:t>16 (Journals, workbooks).</w:t>
      </w:r>
    </w:p>
    <w:p>
      <w:pPr>
        <w:pStyle w:val="ListBullet"/>
      </w:pPr>
      <w:r>
        <w:t>25 (Apparel).</w:t>
      </w:r>
    </w:p>
    <w:p>
      <w:pPr>
        <w:pStyle w:val="ListBullet"/>
      </w:pPr>
      <w:r>
        <w:t>35 (Community organising, partner directory).</w:t>
      </w:r>
    </w:p>
    <w:p>
      <w:pPr>
        <w:pStyle w:val="ListBullet"/>
      </w:pPr>
      <w:r>
        <w:t>42 (Online platform services).</w:t>
      </w:r>
    </w:p>
    <w:p>
      <w:pPr>
        <w:pStyle w:val="Heading2"/>
      </w:pPr>
      <w:r>
        <w:t>3. Filing Basis</w:t>
      </w:r>
    </w:p>
    <w:p>
      <w:r>
        <w:t>File Section 1(a) use-based on marks with proven commercial use,</w:t>
      </w:r>
    </w:p>
    <w:p>
      <w:r>
        <w:t>Section 1(b) intent-to-use for planned launches. USPTO application</w:t>
      </w:r>
    </w:p>
    <w:p>
      <w:r>
        <w:t>fee ~$350 per class per mark.</w:t>
      </w:r>
    </w:p>
    <w:p>
      <w:pPr>
        <w:pStyle w:val="Heading2"/>
      </w:pPr>
      <w:r>
        <w:t>4. Watch Service</w:t>
      </w:r>
    </w:p>
    <w:p>
      <w:r>
        <w:t>Enrol in a watch service (e.g., Corsearch) to catch confusingly</w:t>
      </w:r>
    </w:p>
    <w:p>
      <w:r>
        <w:t>similar filings.</w:t>
      </w:r>
    </w:p>
    <w:p>
      <w:pPr>
        <w:pStyle w:val="Heading2"/>
      </w:pPr>
      <w:r>
        <w:t>5. International</w:t>
      </w:r>
    </w:p>
    <w:p>
      <w:r>
        <w:t>File Madrid Protocol via WIPO once federal (US) is registered, for</w:t>
      </w:r>
    </w:p>
    <w:p>
      <w:r>
        <w:t>key markets: UK, EU, CA, AU.</w:t>
      </w:r>
    </w:p>
    <w:p>
      <w:pPr>
        <w:pStyle w:val="Heading2"/>
      </w:pPr>
      <w:r>
        <w:t>6. Common-Law Notice</w:t>
      </w:r>
    </w:p>
    <w:p>
      <w:r>
        <w:t>Until federal registration issues, use "™" (not "®"); switch to "®"</w:t>
      </w:r>
    </w:p>
    <w:p>
      <w:r>
        <w:t>on notice of registration.</w:t>
      </w:r>
    </w:p>
    <w:p/>
    <w:p>
      <w:r>
        <w:t>*First draft — pending counsel ratification. Comments to</w:t>
      </w:r>
    </w:p>
    <w:p>
      <w:r>
        <w:t>legal@birthright.live.*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