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Sales-Tax Registration Plan</w:t>
      </w:r>
    </w:p>
    <w:p>
      <w:r>
        <w:rPr>
          <w:b/>
        </w:rPr>
        <w:t>Effective date:</w:t>
      </w:r>
      <w:r>
        <w:t xml:space="preserve"> February 2026. Internal planning document.</w:t>
      </w:r>
    </w:p>
    <w:p>
      <w:pPr>
        <w:pStyle w:val="Heading2"/>
      </w:pPr>
      <w:r>
        <w:t>1. Approach</w:t>
      </w:r>
    </w:p>
    <w:p>
      <w:r>
        <w:t>Register in the state where we have physical presence first</w:t>
      </w:r>
    </w:p>
    <w:p>
      <w:r>
        <w:t>(nexus), then adopt an economic-nexus monitoring service to trigger</w:t>
      </w:r>
    </w:p>
    <w:p>
      <w:r>
        <w:t>registrations in other states as thresholds are met.</w:t>
      </w:r>
    </w:p>
    <w:p>
      <w:pPr>
        <w:pStyle w:val="Heading2"/>
      </w:pPr>
      <w:r>
        <w:t>2. Physical Nexus</w:t>
      </w:r>
    </w:p>
    <w:p>
      <w:pPr>
        <w:pStyle w:val="ListBullet"/>
      </w:pPr>
      <w:r>
        <w:rPr>
          <w:b/>
        </w:rPr>
        <w:t>Home state (NC)</w:t>
      </w:r>
      <w:r>
        <w:t xml:space="preserve"> — register immediately with the NC Department</w:t>
      </w:r>
    </w:p>
    <w:p>
      <w:r>
        <w:t>of Revenue. File monthly.</w:t>
      </w:r>
    </w:p>
    <w:p>
      <w:pPr>
        <w:pStyle w:val="Heading2"/>
      </w:pPr>
      <w:r>
        <w:t>3. Economic Nexus</w:t>
      </w:r>
    </w:p>
    <w:p>
      <w:r>
        <w:t>Most states use a $100k / 200-transaction threshold (some are $500k;</w:t>
      </w:r>
    </w:p>
    <w:p>
      <w:r>
        <w:t>NY and CA differ). We will use TaxJar / Avalara / Stripe Tax to</w:t>
      </w:r>
    </w:p>
    <w:p>
      <w:r>
        <w:t>monitor thresholds and file when triggered.</w:t>
      </w:r>
    </w:p>
    <w:p>
      <w:pPr>
        <w:pStyle w:val="Heading2"/>
      </w:pPr>
      <w:r>
        <w:t>4. Product Taxability</w:t>
      </w:r>
    </w:p>
    <w:p>
      <w:pPr>
        <w:pStyle w:val="ListBullet"/>
      </w:pPr>
      <w:r>
        <w:t>Physical merch: taxable.</w:t>
      </w:r>
    </w:p>
    <w:p>
      <w:pPr>
        <w:pStyle w:val="ListBullet"/>
      </w:pPr>
      <w:r>
        <w:t>Digital workshops (live): typically not taxable; a few states</w:t>
      </w:r>
    </w:p>
    <w:p>
      <w:r>
        <w:t>differ (e.g., TN, DC).</w:t>
      </w:r>
    </w:p>
    <w:p>
      <w:pPr>
        <w:pStyle w:val="ListBullet"/>
      </w:pPr>
      <w:r>
        <w:t>Print-on-demand: taxed where the buyer is, collected by the print</w:t>
      </w:r>
    </w:p>
    <w:p>
      <w:r>
        <w:t>partner in some cases (Printful).</w:t>
      </w:r>
    </w:p>
    <w:p>
      <w:pPr>
        <w:pStyle w:val="Heading2"/>
      </w:pPr>
      <w:r>
        <w:t>5. Marketplace Facilitator Rules</w:t>
      </w:r>
    </w:p>
    <w:p>
      <w:r>
        <w:t>Where a print partner acts as marketplace facilitator, they collect</w:t>
      </w:r>
    </w:p>
    <w:p>
      <w:r>
        <w:t>and remit; we do not double-collect. Track exemption certificates on</w:t>
      </w:r>
    </w:p>
    <w:p>
      <w:r>
        <w:t>file.</w:t>
      </w:r>
    </w:p>
    <w:p>
      <w:pPr>
        <w:pStyle w:val="Heading2"/>
      </w:pPr>
      <w:r>
        <w:t>6. Records</w:t>
      </w:r>
    </w:p>
    <w:p>
      <w:r>
        <w:t>Retain sales-tax records for 7 years.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