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C9A961"/>
          <w:sz w:val="18"/>
        </w:rPr>
        <w:t>BIRTHRIGHT FOUNDATION</w:t>
      </w:r>
    </w:p>
    <w:p>
      <w:pPr>
        <w:spacing w:after="120"/>
        <w:pBdr>
          <w:bottom w:val="single" w:sz="12" w:space="1" w:color="C9A961"/>
        </w:pBdr>
      </w:pPr>
      <w:r>
        <w:rPr>
          <w:rFonts w:ascii="Georgia" w:hAnsi="Georgia"/>
          <w:b/>
          <w:color w:val="0F2424"/>
          <w:sz w:val="48"/>
        </w:rPr>
        <w:t>ISTV Contract — Full Text Review</w:t>
        <w:br/>
        <w:t>&amp; Business Value Memo</w:t>
      </w:r>
    </w:p>
    <w:p>
      <w:pPr>
        <w:spacing w:after="40"/>
      </w:pPr>
      <w:r>
        <w:rPr>
          <w:rFonts w:ascii="Arial" w:hAnsi="Arial"/>
          <w:b/>
          <w:sz w:val="20"/>
        </w:rPr>
        <w:t>Prepared by:</w:t>
      </w:r>
      <w:r>
        <w:rPr>
          <w:rFonts w:ascii="Arial" w:hAnsi="Arial"/>
          <w:color w:val="5C6B6B"/>
          <w:sz w:val="20"/>
        </w:rPr>
        <w:t xml:space="preserve"> Steely-eyed business &amp; marketing advisor</w:t>
      </w:r>
      <w:r>
        <w:br/>
      </w:r>
      <w:r>
        <w:rPr>
          <w:rFonts w:ascii="Arial" w:hAnsi="Arial"/>
          <w:b/>
          <w:sz w:val="20"/>
        </w:rPr>
        <w:t>Persona:</w:t>
      </w:r>
      <w:r>
        <w:rPr>
          <w:rFonts w:ascii="Arial" w:hAnsi="Arial"/>
          <w:color w:val="5C6B6B"/>
          <w:sz w:val="20"/>
        </w:rPr>
        <w:t xml:space="preserve"> Advocating exclusively for Birthright's interests</w:t>
      </w:r>
      <w:r>
        <w:br/>
      </w:r>
      <w:r>
        <w:rPr>
          <w:rFonts w:ascii="Arial" w:hAnsi="Arial"/>
          <w:b/>
          <w:sz w:val="20"/>
        </w:rPr>
        <w:t>Date:</w:t>
      </w:r>
      <w:r>
        <w:rPr>
          <w:rFonts w:ascii="Arial" w:hAnsi="Arial"/>
          <w:color w:val="5C6B6B"/>
          <w:sz w:val="20"/>
        </w:rPr>
        <w:t xml:space="preserve"> July 23, 2026</w:t>
      </w:r>
      <w:r>
        <w:br/>
      </w:r>
      <w:r>
        <w:rPr>
          <w:rFonts w:ascii="Arial" w:hAnsi="Arial"/>
          <w:b/>
          <w:sz w:val="20"/>
        </w:rPr>
        <w:t>Distribution:</w:t>
      </w:r>
      <w:r>
        <w:rPr>
          <w:rFonts w:ascii="Arial" w:hAnsi="Arial"/>
          <w:color w:val="5C6B6B"/>
          <w:sz w:val="20"/>
        </w:rPr>
        <w:t xml:space="preserve"> Founders (James &amp; Amanda Reagan), Legal Counsel (Ina), Advisory Team</w:t>
      </w:r>
      <w:r>
        <w:br/>
      </w:r>
    </w:p>
    <w:p>
      <w:pPr>
        <w:spacing w:after="120"/>
      </w:pPr>
      <w:r>
        <w:rPr>
          <w:rFonts w:ascii="Calibri" w:hAnsi="Calibri"/>
          <w:b/>
          <w:sz w:val="22"/>
        </w:rPr>
        <w:t>Scope:</w:t>
      </w:r>
      <w:r>
        <w:rPr>
          <w:rFonts w:ascii="Calibri" w:hAnsi="Calibri"/>
          <w:sz w:val="22"/>
        </w:rPr>
        <w:t xml:space="preserve"> (1) Does the actual contract text answer the questions we raised? (2) Is $12k justified vs. $3–6k alternatives? (3) Is Ina's 2-week entity formation timeline a dealbreaker?</w:t>
      </w:r>
    </w:p>
    <w:tbl>
      <w:tblPr>
        <w:tblW w:type="auto" w:w="0"/>
        <w:tblLayout w:type="autofit"/>
        <w:tblLook w:firstColumn="1" w:firstRow="1" w:lastColumn="0" w:lastRow="0" w:noHBand="0" w:noVBand="1" w:val="04A0"/>
      </w:tblPr>
      <w:tblGrid>
        <w:gridCol w:w="9972"/>
      </w:tblGrid>
      <w:tr>
        <w:tc>
          <w:tcPr>
            <w:tcW w:type="dxa" w:w="9972"/>
            <w:shd w:val="clear" w:color="auto" w:fill="FBF3E4"/>
          </w:tcPr>
          <w:p>
            <w:r>
              <w:rPr>
                <w:rFonts w:ascii="Arial" w:hAnsi="Arial"/>
                <w:b/>
                <w:color w:val="8B4513"/>
                <w:sz w:val="22"/>
              </w:rPr>
              <w:t>TL;DR</w:t>
            </w:r>
          </w:p>
          <w:p>
            <w:r>
              <w:rPr>
                <w:rFonts w:ascii="Calibri" w:hAnsi="Calibri"/>
                <w:color w:val="0F2424"/>
                <w:sz w:val="22"/>
              </w:rPr>
              <w:t>The contract makes the deal materially WORSE than Mary's email suggested. It introduces four new red flags Mary did not mention. Value is unchanged from prior analysis. $12k is not justified. The 2-week entity timeline is not the dealbreaker — the contract itself is the dealbreaker. Ina's timeline is protecting you.</w:t>
            </w:r>
          </w:p>
        </w:tc>
      </w:tr>
    </w:tbl>
    <w:p/>
    <w:p>
      <w:pPr>
        <w:spacing w:before="320" w:after="80"/>
      </w:pPr>
      <w:r>
        <w:rPr>
          <w:rFonts w:ascii="Georgia" w:hAnsi="Georgia"/>
          <w:b/>
          <w:color w:val="0F2424"/>
          <w:sz w:val="32"/>
        </w:rPr>
        <w:t>Section 1 — Does the Contract Answer Our Clarifying Questions?</w:t>
      </w:r>
    </w:p>
    <w:p>
      <w:pPr>
        <w:spacing w:before="200" w:after="40"/>
      </w:pPr>
      <w:r>
        <w:rPr>
          <w:rFonts w:ascii="Arial" w:hAnsi="Arial"/>
          <w:b/>
          <w:color w:val="8B4513"/>
          <w:sz w:val="24"/>
        </w:rPr>
        <w:t>Partially resolved</w:t>
      </w:r>
    </w:p>
    <w:tbl>
      <w:tblPr>
        <w:tblStyle w:val="LightList-Accent1"/>
        <w:tblW w:type="auto" w:w="0"/>
        <w:tblLook w:firstColumn="1" w:firstRow="1" w:lastColumn="0" w:lastRow="0" w:noHBand="0" w:noVBand="1" w:val="04A0"/>
      </w:tblPr>
      <w:tblGrid>
        <w:gridCol w:w="3324"/>
        <w:gridCol w:w="3324"/>
        <w:gridCol w:w="3324"/>
      </w:tblGrid>
      <w:tr>
        <w:tc>
          <w:tcPr>
            <w:tcW w:type="dxa" w:w="2592"/>
            <w:shd w:val="clear" w:color="auto" w:fill="0F2424"/>
            <w:vAlign w:val="center"/>
          </w:tcPr>
          <w:p>
            <w:r>
              <w:rPr>
                <w:rFonts w:ascii="Arial" w:hAnsi="Arial"/>
                <w:b/>
                <w:color w:val="FFFFFF"/>
                <w:sz w:val="20"/>
              </w:rPr>
              <w:t>Ask</w:t>
            </w:r>
          </w:p>
        </w:tc>
        <w:tc>
          <w:tcPr>
            <w:tcW w:type="dxa" w:w="4896"/>
            <w:shd w:val="clear" w:color="auto" w:fill="0F2424"/>
            <w:vAlign w:val="center"/>
          </w:tcPr>
          <w:p>
            <w:r>
              <w:rPr>
                <w:rFonts w:ascii="Arial" w:hAnsi="Arial"/>
                <w:b/>
                <w:color w:val="FFFFFF"/>
                <w:sz w:val="20"/>
              </w:rPr>
              <w:t>Contract text</w:t>
            </w:r>
          </w:p>
        </w:tc>
        <w:tc>
          <w:tcPr>
            <w:tcW w:type="dxa" w:w="2304"/>
            <w:shd w:val="clear" w:color="auto" w:fill="0F2424"/>
            <w:vAlign w:val="center"/>
          </w:tcPr>
          <w:p>
            <w:r>
              <w:rPr>
                <w:rFonts w:ascii="Arial" w:hAnsi="Arial"/>
                <w:b/>
                <w:color w:val="FFFFFF"/>
                <w:sz w:val="20"/>
              </w:rPr>
              <w:t>Verdict</w:t>
            </w:r>
          </w:p>
        </w:tc>
      </w:tr>
      <w:tr>
        <w:tc>
          <w:tcPr>
            <w:tcW w:type="dxa" w:w="2592"/>
          </w:tcPr>
          <w:p>
            <w:r>
              <w:rPr>
                <w:rFonts w:ascii="Calibri" w:hAnsi="Calibri"/>
                <w:sz w:val="20"/>
              </w:rPr>
              <w:t>Co-ownership in writing</w:t>
            </w:r>
          </w:p>
        </w:tc>
        <w:tc>
          <w:tcPr>
            <w:tcW w:type="dxa" w:w="4896"/>
          </w:tcPr>
          <w:p>
            <w:r>
              <w:rPr>
                <w:rFonts w:ascii="Calibri" w:hAnsi="Calibri"/>
                <w:sz w:val="20"/>
              </w:rPr>
              <w:t>§2: "A lifetime use license and co-ownership of your episode and all filmed content"</w:t>
            </w:r>
          </w:p>
        </w:tc>
        <w:tc>
          <w:tcPr>
            <w:tcW w:type="dxa" w:w="2304"/>
          </w:tcPr>
          <w:p>
            <w:r>
              <w:rPr>
                <w:rFonts w:ascii="Calibri" w:hAnsi="Calibri"/>
                <w:b/>
                <w:sz w:val="20"/>
              </w:rPr>
              <w:t>In writing — but see contradiction below.</w:t>
            </w:r>
          </w:p>
        </w:tc>
      </w:tr>
      <w:tr>
        <w:tc>
          <w:tcPr>
            <w:tcW w:type="dxa" w:w="2592"/>
          </w:tcPr>
          <w:p>
            <w:r>
              <w:rPr>
                <w:rFonts w:ascii="Calibri" w:hAnsi="Calibri"/>
                <w:sz w:val="20"/>
              </w:rPr>
              <w:t>Lifetime commercial use</w:t>
            </w:r>
          </w:p>
        </w:tc>
        <w:tc>
          <w:tcPr>
            <w:tcW w:type="dxa" w:w="4896"/>
          </w:tcPr>
          <w:p>
            <w:r>
              <w:rPr>
                <w:rFonts w:ascii="Calibri" w:hAnsi="Calibri"/>
                <w:sz w:val="20"/>
              </w:rPr>
              <w:t>§6: "lifetime, royalty-free, non-transferable commercial use license"</w:t>
            </w:r>
          </w:p>
        </w:tc>
        <w:tc>
          <w:tcPr>
            <w:tcW w:type="dxa" w:w="2304"/>
          </w:tcPr>
          <w:p>
            <w:r>
              <w:rPr>
                <w:rFonts w:ascii="Calibri" w:hAnsi="Calibri"/>
                <w:sz w:val="20"/>
              </w:rPr>
              <w:t>Confirmed.</w:t>
            </w:r>
          </w:p>
        </w:tc>
      </w:tr>
      <w:tr>
        <w:tc>
          <w:tcPr>
            <w:tcW w:type="dxa" w:w="2592"/>
          </w:tcPr>
          <w:p>
            <w:r>
              <w:rPr>
                <w:rFonts w:ascii="Calibri" w:hAnsi="Calibri"/>
                <w:sz w:val="20"/>
              </w:rPr>
              <w:t>5-year hosting guarantee</w:t>
            </w:r>
          </w:p>
        </w:tc>
        <w:tc>
          <w:tcPr>
            <w:tcW w:type="dxa" w:w="4896"/>
          </w:tcPr>
          <w:p>
            <w:r>
              <w:rPr>
                <w:rFonts w:ascii="Calibri" w:hAnsi="Calibri"/>
                <w:sz w:val="20"/>
              </w:rPr>
              <w:t>§5: "remain published on at least one platform we own or control for a minimum of 5 years"</w:t>
            </w:r>
          </w:p>
        </w:tc>
        <w:tc>
          <w:tcPr>
            <w:tcW w:type="dxa" w:w="2304"/>
          </w:tcPr>
          <w:p>
            <w:r>
              <w:rPr>
                <w:rFonts w:ascii="Calibri" w:hAnsi="Calibri"/>
                <w:sz w:val="20"/>
              </w:rPr>
              <w:t>Confirmed.</w:t>
            </w:r>
          </w:p>
        </w:tc>
      </w:tr>
    </w:tbl>
    <w:p/>
    <w:p>
      <w:pPr>
        <w:spacing w:before="200" w:after="40"/>
      </w:pPr>
      <w:r>
        <w:rPr>
          <w:rFonts w:ascii="Arial" w:hAnsi="Arial"/>
          <w:b/>
          <w:color w:val="8B4513"/>
          <w:sz w:val="24"/>
        </w:rPr>
        <w:t>The "co-ownership" is not what Mary implied</w:t>
      </w:r>
    </w:p>
    <w:p>
      <w:pPr>
        <w:pStyle w:val="ListBullet"/>
        <w:spacing w:after="40"/>
        <w:ind w:left="360"/>
      </w:pPr>
      <w:r>
        <w:rPr>
          <w:rFonts w:ascii="Calibri" w:hAnsi="Calibri"/>
          <w:b/>
          <w:sz w:val="22"/>
        </w:rPr>
        <w:t>§2 says "co-ownership."</w:t>
      </w:r>
      <w:r>
        <w:rPr>
          <w:rFonts w:ascii="Calibri" w:hAnsi="Calibri"/>
          <w:sz w:val="22"/>
        </w:rPr>
        <w:t xml:space="preserve"> </w:t>
      </w:r>
      <w:r>
        <w:rPr>
          <w:rFonts w:ascii="Calibri" w:hAnsi="Calibri"/>
          <w:b/>
          <w:sz w:val="22"/>
        </w:rPr>
        <w:t>§6 says "commercial-use license."</w:t>
      </w:r>
      <w:r>
        <w:rPr>
          <w:rFonts w:ascii="Calibri" w:hAnsi="Calibri"/>
          <w:sz w:val="22"/>
        </w:rPr>
        <w:t xml:space="preserve"> These clauses contradict each other, and §12 (Entire Agreement) does not resolve which controls.</w:t>
      </w:r>
    </w:p>
    <w:p>
      <w:pPr>
        <w:pStyle w:val="ListBullet"/>
        <w:spacing w:after="40"/>
        <w:ind w:left="360"/>
      </w:pPr>
      <w:r>
        <w:rPr>
          <w:rFonts w:ascii="Calibri" w:hAnsi="Calibri"/>
          <w:b/>
          <w:sz w:val="22"/>
        </w:rPr>
        <w:t>§6 Limitations kill the co-ownership value:</w:t>
      </w:r>
      <w:r>
        <w:rPr>
          <w:rFonts w:ascii="Calibri" w:hAnsi="Calibri"/>
          <w:sz w:val="22"/>
        </w:rPr>
        <w:t xml:space="preserve"> </w:t>
      </w:r>
      <w:r>
        <w:rPr>
          <w:rFonts w:ascii="Calibri" w:hAnsi="Calibri"/>
          <w:i/>
          <w:sz w:val="22"/>
        </w:rPr>
        <w:t>"You may not alter, resell, or distribute the full episode for OTT or broadcast use without written permission. You may not submit the episode to third-party streaming platforms without prior written approval."</w:t>
      </w:r>
    </w:p>
    <w:p>
      <w:pPr>
        <w:pStyle w:val="ListBullet"/>
        <w:spacing w:after="40"/>
        <w:ind w:left="360"/>
      </w:pPr>
      <w:r>
        <w:rPr>
          <w:rFonts w:ascii="Calibri" w:hAnsi="Calibri"/>
          <w:sz w:val="22"/>
        </w:rPr>
        <w:t>You "co-own" it but cannot put it on Netflix, Hulu, Amazon Prime, YouTube, or anywhere else without ISTV's written permission. That is a license with severe use restrictions, dressed up as ownership.</w:t>
      </w:r>
    </w:p>
    <w:p>
      <w:pPr>
        <w:pStyle w:val="ListBullet"/>
        <w:spacing w:after="40"/>
        <w:ind w:left="360"/>
      </w:pPr>
      <w:r>
        <w:rPr>
          <w:rFonts w:ascii="Calibri" w:hAnsi="Calibri"/>
          <w:sz w:val="22"/>
        </w:rPr>
        <w:t xml:space="preserve">Under Florida contract law, ambiguity in a contract of adhesion generally cuts against the drafter (ISTV) — </w:t>
      </w:r>
      <w:r>
        <w:rPr>
          <w:rFonts w:ascii="Calibri" w:hAnsi="Calibri"/>
          <w:b/>
          <w:sz w:val="22"/>
        </w:rPr>
        <w:t>but litigating that costs more than the $12k fee.</w:t>
      </w:r>
      <w:r>
        <w:rPr>
          <w:rFonts w:ascii="Calibri" w:hAnsi="Calibri"/>
          <w:sz w:val="22"/>
        </w:rPr>
        <w:t xml:space="preserve"> In practice, ISTV wins the interpretation.</w:t>
      </w:r>
    </w:p>
    <w:p>
      <w:pPr>
        <w:spacing w:before="200" w:after="40"/>
      </w:pPr>
      <w:r>
        <w:rPr>
          <w:rFonts w:ascii="Arial" w:hAnsi="Arial"/>
          <w:b/>
          <w:color w:val="8B4513"/>
          <w:sz w:val="24"/>
        </w:rPr>
        <w:t>Four NEW red flags Mary did not disclose in her email</w:t>
      </w:r>
    </w:p>
    <w:p>
      <w:pPr>
        <w:spacing w:after="120"/>
      </w:pPr>
      <w:r>
        <w:rPr>
          <w:rFonts w:ascii="Calibri" w:hAnsi="Calibri"/>
          <w:b/>
          <w:sz w:val="22"/>
        </w:rPr>
        <w:t>8. §12 Entire Agreement clause voids Mary's entire email.</w:t>
      </w:r>
    </w:p>
    <w:p>
      <w:pPr>
        <w:spacing w:before="80" w:after="120"/>
        <w:ind w:left="576"/>
        <w:pBdr>
          <w:left w:val="single" w:sz="18" w:space="1" w:color="C9A961"/>
        </w:pBdr>
      </w:pPr>
      <w:r>
        <w:rPr>
          <w:rFonts w:ascii="Georgia" w:hAnsi="Georgia"/>
          <w:i/>
          <w:color w:val="0F2424"/>
          <w:sz w:val="22"/>
        </w:rPr>
        <w:t>"You acknowledge that you are not relying on any statement, promise, or representation outside of this Agreement, including oral representations made by sales or enrollment personnel."</w:t>
      </w:r>
    </w:p>
    <w:p>
      <w:pPr>
        <w:spacing w:after="120"/>
      </w:pPr>
      <w:r>
        <w:rPr>
          <w:rFonts w:ascii="Calibri" w:hAnsi="Calibri"/>
          <w:sz w:val="22"/>
        </w:rPr>
        <w:t>Every softening reassurance Mary sent — "we always welcome a conversation," "we pride ourselves on cast members feeling great," "risk not proportionately the same" — is legally worthless the moment you sign. Only the contract text matters.</w:t>
      </w:r>
    </w:p>
    <w:p>
      <w:pPr>
        <w:spacing w:after="120"/>
      </w:pPr>
      <w:r>
        <w:rPr>
          <w:rFonts w:ascii="Calibri" w:hAnsi="Calibri"/>
          <w:b/>
          <w:sz w:val="22"/>
        </w:rPr>
        <w:t>9. §11 has an anti-chargeback / attorney-fees weapon.</w:t>
      </w:r>
    </w:p>
    <w:p>
      <w:pPr>
        <w:spacing w:before="80" w:after="120"/>
        <w:ind w:left="576"/>
        <w:pBdr>
          <w:left w:val="single" w:sz="18" w:space="1" w:color="C9A961"/>
        </w:pBdr>
      </w:pPr>
      <w:r>
        <w:rPr>
          <w:rFonts w:ascii="Georgia" w:hAnsi="Georgia"/>
          <w:i/>
          <w:color w:val="0F2424"/>
          <w:sz w:val="22"/>
        </w:rPr>
        <w:t>"If you attempt to circumvent this process by challenging any bank or credit card payment to ISTV LLC, ISTV will seek attorneys' fees and costs based on your wrongful challenge."</w:t>
      </w:r>
    </w:p>
    <w:p>
      <w:pPr>
        <w:spacing w:after="120"/>
      </w:pPr>
      <w:r>
        <w:rPr>
          <w:rFonts w:ascii="Calibri" w:hAnsi="Calibri"/>
          <w:sz w:val="22"/>
        </w:rPr>
        <w:t>You cannot use a card dispute to recover funds if ISTV underperforms. Combined with §7 ("non-refundable"), your money is trapped from the moment the wire clears.</w:t>
      </w:r>
    </w:p>
    <w:p>
      <w:pPr>
        <w:spacing w:after="120"/>
      </w:pPr>
      <w:r>
        <w:rPr>
          <w:rFonts w:ascii="Calibri" w:hAnsi="Calibri"/>
          <w:b/>
          <w:sz w:val="22"/>
        </w:rPr>
        <w:t>10. Class-action waiver + jury-trial waiver.</w:t>
      </w:r>
    </w:p>
    <w:p>
      <w:pPr>
        <w:spacing w:before="80" w:after="120"/>
        <w:ind w:left="576"/>
        <w:pBdr>
          <w:left w:val="single" w:sz="18" w:space="1" w:color="C9A961"/>
        </w:pBdr>
      </w:pPr>
      <w:r>
        <w:rPr>
          <w:rFonts w:ascii="Georgia" w:hAnsi="Georgia"/>
          <w:i/>
          <w:color w:val="0F2424"/>
          <w:sz w:val="22"/>
        </w:rPr>
        <w:t>"By signing, you waive the right to participate in a class action lawsuit against the company and a trial by jury."</w:t>
      </w:r>
    </w:p>
    <w:p>
      <w:pPr>
        <w:spacing w:after="120"/>
      </w:pPr>
      <w:r>
        <w:rPr>
          <w:rFonts w:ascii="Calibri" w:hAnsi="Calibri"/>
          <w:sz w:val="22"/>
        </w:rPr>
        <w:t>Individually arbitrated only, in Miami. If ISTV has systematically underdelivered to 1,000 cast members, you have no path to pool remedy.</w:t>
      </w:r>
    </w:p>
    <w:p>
      <w:pPr>
        <w:spacing w:after="120"/>
      </w:pPr>
      <w:r>
        <w:rPr>
          <w:rFonts w:ascii="Calibri" w:hAnsi="Calibri"/>
          <w:b/>
          <w:sz w:val="22"/>
        </w:rPr>
        <w:t>11. §9 3-year non-compete — broader than Mary framed it.</w:t>
      </w:r>
    </w:p>
    <w:p>
      <w:pPr>
        <w:spacing w:before="80" w:after="120"/>
        <w:ind w:left="576"/>
        <w:pBdr>
          <w:left w:val="single" w:sz="18" w:space="1" w:color="C9A961"/>
        </w:pBdr>
      </w:pPr>
      <w:r>
        <w:rPr>
          <w:rFonts w:ascii="Georgia" w:hAnsi="Georgia"/>
          <w:i/>
          <w:color w:val="0F2424"/>
          <w:sz w:val="22"/>
        </w:rPr>
        <w:t>"For 3 years… you agree not to create, operate, or own a rival streaming platform or docuseries production business that substantially replicates our business model (featuring entrepreneurs documentary-style productions)."</w:t>
      </w:r>
    </w:p>
    <w:p>
      <w:pPr>
        <w:spacing w:after="120"/>
      </w:pPr>
      <w:r>
        <w:rPr>
          <w:rFonts w:ascii="Calibri" w:hAnsi="Calibri"/>
          <w:sz w:val="22"/>
        </w:rPr>
        <w:t xml:space="preserve">Reasonable people would argue Birthright isn't in that business. But it is </w:t>
      </w:r>
      <w:r>
        <w:rPr>
          <w:rFonts w:ascii="Calibri" w:hAnsi="Calibri"/>
          <w:i/>
          <w:sz w:val="22"/>
        </w:rPr>
        <w:t>adjacent</w:t>
      </w:r>
      <w:r>
        <w:rPr>
          <w:rFonts w:ascii="Calibri" w:hAnsi="Calibri"/>
          <w:sz w:val="22"/>
        </w:rPr>
        <w:t xml:space="preserve"> — a couples/community platform that will inevitably produce founder stories, workshops, and testimonial content. This clause is broad enough to be weaponized against future Birthright content that "features entrepreneurs" in a "documentary-style." Add the $100k liquidated-damages provision for soliciting one contractor.</w:t>
      </w:r>
    </w:p>
    <w:p>
      <w:pPr>
        <w:spacing w:after="120"/>
      </w:pPr>
      <w:r>
        <w:rPr>
          <w:rFonts w:ascii="Calibri" w:hAnsi="Calibri"/>
          <w:b/>
          <w:sz w:val="22"/>
        </w:rPr>
        <w:t>12. §3 introduces surprise costs.</w:t>
      </w:r>
    </w:p>
    <w:p>
      <w:pPr>
        <w:spacing w:after="120"/>
      </w:pPr>
      <w:r>
        <w:rPr>
          <w:rFonts w:ascii="Calibri" w:hAnsi="Calibri"/>
          <w:sz w:val="22"/>
        </w:rPr>
        <w:t>"$1,000 reshoot fee payable in advance" if you show up "fatigued, ill, or on medication." The Production Company has "sole and absolute discretion" to make that call. Read plainly: they can call you unfit, pocket the $12k, and charge $1k more for a reshoot.</w:t>
      </w:r>
    </w:p>
    <w:p>
      <w:pPr>
        <w:spacing w:before="200" w:after="40"/>
      </w:pPr>
      <w:r>
        <w:rPr>
          <w:rFonts w:ascii="Arial" w:hAnsi="Arial"/>
          <w:b/>
          <w:color w:val="8B4513"/>
          <w:sz w:val="24"/>
        </w:rPr>
        <w:t>Not resolved</w:t>
      </w:r>
    </w:p>
    <w:p>
      <w:pPr>
        <w:pStyle w:val="ListBullet"/>
        <w:spacing w:after="40"/>
        <w:ind w:left="360"/>
      </w:pPr>
      <w:r>
        <w:rPr>
          <w:rFonts w:ascii="Calibri" w:hAnsi="Calibri"/>
          <w:b/>
          <w:sz w:val="22"/>
        </w:rPr>
        <w:t>No editorial takedown right.</w:t>
      </w:r>
      <w:r>
        <w:rPr>
          <w:rFonts w:ascii="Calibri" w:hAnsi="Calibri"/>
          <w:sz w:val="22"/>
        </w:rPr>
        <w:t xml:space="preserve"> §4 confirms ISTV has "full editorial and creative authority." You get one round of revisions on the storyline "as long as they do not totally change the content format/flow." You cannot pull the episode if it damages your brand.</w:t>
      </w:r>
    </w:p>
    <w:p>
      <w:pPr>
        <w:pStyle w:val="ListBullet"/>
        <w:spacing w:after="40"/>
        <w:ind w:left="360"/>
      </w:pPr>
      <w:r>
        <w:rPr>
          <w:rFonts w:ascii="Calibri" w:hAnsi="Calibri"/>
          <w:b/>
          <w:sz w:val="22"/>
        </w:rPr>
        <w:t>Non-reciprocal termination.</w:t>
      </w:r>
      <w:r>
        <w:rPr>
          <w:rFonts w:ascii="Calibri" w:hAnsi="Calibri"/>
          <w:sz w:val="22"/>
        </w:rPr>
        <w:t xml:space="preserve"> §8 lets ISTV terminate for a wide range of reasons (past or pending criminal charges, "misconduct" including "harassment, discrimination, racism, sexism, or violent behavior" — all at "ISTV's sole discretion") without refund. You have no reciprocal termination right.</w:t>
      </w:r>
    </w:p>
    <w:p>
      <w:pPr>
        <w:pStyle w:val="ListBullet"/>
        <w:spacing w:after="40"/>
        <w:ind w:left="360"/>
      </w:pPr>
      <w:r>
        <w:rPr>
          <w:rFonts w:ascii="Calibri" w:hAnsi="Calibri"/>
          <w:b/>
          <w:sz w:val="22"/>
        </w:rPr>
        <w:t>No producer indemnity.</w:t>
      </w:r>
      <w:r>
        <w:rPr>
          <w:rFonts w:ascii="Calibri" w:hAnsi="Calibri"/>
          <w:sz w:val="22"/>
        </w:rPr>
        <w:t xml:space="preserve"> §8 makes you indemnify them; nothing runs the other direction.</w:t>
      </w:r>
    </w:p>
    <w:p>
      <w:pPr>
        <w:pStyle w:val="ListBullet"/>
        <w:spacing w:after="40"/>
        <w:ind w:left="360"/>
      </w:pPr>
      <w:r>
        <w:rPr>
          <w:rFonts w:ascii="Calibri" w:hAnsi="Calibri"/>
          <w:b/>
          <w:sz w:val="22"/>
        </w:rPr>
        <w:t>Personal-signature exposure.</w:t>
      </w:r>
      <w:r>
        <w:rPr>
          <w:rFonts w:ascii="Calibri" w:hAnsi="Calibri"/>
          <w:sz w:val="22"/>
        </w:rPr>
        <w:t xml:space="preserve"> Signature block asks for First Name / Last Name / Company / Title. Company is a field, not a required entity execution. Mary's email confirmed she signs individuals routinely. If James signs personally, personal liability follows.</w:t>
      </w:r>
    </w:p>
    <w:p>
      <w:pPr>
        <w:spacing w:before="320" w:after="80"/>
      </w:pPr>
      <w:r>
        <w:rPr>
          <w:rFonts w:ascii="Georgia" w:hAnsi="Georgia"/>
          <w:b/>
          <w:color w:val="0F2424"/>
          <w:sz w:val="32"/>
        </w:rPr>
        <w:t>Section 2 — Business Value: Does Anything Justify $12k?</w:t>
      </w:r>
    </w:p>
    <w:p>
      <w:pPr>
        <w:spacing w:before="200" w:after="40"/>
      </w:pPr>
      <w:r>
        <w:rPr>
          <w:rFonts w:ascii="Arial" w:hAnsi="Arial"/>
          <w:b/>
          <w:color w:val="8B4513"/>
          <w:sz w:val="24"/>
        </w:rPr>
        <w:t>What you actually get for $12k</w:t>
      </w:r>
    </w:p>
    <w:p>
      <w:pPr>
        <w:pStyle w:val="ListBullet"/>
        <w:spacing w:after="40"/>
        <w:ind w:left="360"/>
      </w:pPr>
      <w:r>
        <w:rPr>
          <w:rFonts w:ascii="Calibri" w:hAnsi="Calibri"/>
          <w:sz w:val="22"/>
        </w:rPr>
        <w:t xml:space="preserve">Half-day of filming in Miami — </w:t>
      </w:r>
      <w:r>
        <w:rPr>
          <w:rFonts w:ascii="Calibri" w:hAnsi="Calibri"/>
          <w:i/>
          <w:sz w:val="22"/>
        </w:rPr>
        <w:t>fair market: $2–3k</w:t>
      </w:r>
    </w:p>
    <w:p>
      <w:pPr>
        <w:pStyle w:val="ListBullet"/>
        <w:spacing w:after="40"/>
        <w:ind w:left="360"/>
      </w:pPr>
      <w:r>
        <w:rPr>
          <w:rFonts w:ascii="Calibri" w:hAnsi="Calibri"/>
          <w:sz w:val="22"/>
        </w:rPr>
        <w:t xml:space="preserve">Pre-production script support — </w:t>
      </w:r>
      <w:r>
        <w:rPr>
          <w:rFonts w:ascii="Calibri" w:hAnsi="Calibri"/>
          <w:i/>
          <w:sz w:val="22"/>
        </w:rPr>
        <w:t>fair market: $500–1k</w:t>
      </w:r>
    </w:p>
    <w:p>
      <w:pPr>
        <w:pStyle w:val="ListBullet"/>
        <w:spacing w:after="40"/>
        <w:ind w:left="360"/>
      </w:pPr>
      <w:r>
        <w:rPr>
          <w:rFonts w:ascii="Calibri" w:hAnsi="Calibri"/>
          <w:sz w:val="22"/>
        </w:rPr>
        <w:t xml:space="preserve">One 12–15 minute edited episode, one revision — </w:t>
      </w:r>
      <w:r>
        <w:rPr>
          <w:rFonts w:ascii="Calibri" w:hAnsi="Calibri"/>
          <w:i/>
          <w:sz w:val="22"/>
        </w:rPr>
        <w:t>fair market: $3–5k</w:t>
      </w:r>
    </w:p>
    <w:p>
      <w:pPr>
        <w:pStyle w:val="ListBullet"/>
        <w:spacing w:after="40"/>
        <w:ind w:left="360"/>
      </w:pPr>
      <w:r>
        <w:rPr>
          <w:rFonts w:ascii="Calibri" w:hAnsi="Calibri"/>
          <w:sz w:val="22"/>
        </w:rPr>
        <w:t xml:space="preserve">Placement on ISTV Network app inside Roku / Apple TV / Amazon Fire TV — </w:t>
      </w:r>
      <w:r>
        <w:rPr>
          <w:rFonts w:ascii="Calibri" w:hAnsi="Calibri"/>
          <w:b/>
          <w:sz w:val="22"/>
        </w:rPr>
        <w:t>not</w:t>
      </w:r>
      <w:r>
        <w:rPr>
          <w:rFonts w:ascii="Calibri" w:hAnsi="Calibri"/>
          <w:sz w:val="22"/>
        </w:rPr>
        <w:t xml:space="preserve"> as a Prime Video original, but as a channel within those stores. </w:t>
      </w:r>
      <w:r>
        <w:rPr>
          <w:rFonts w:ascii="Calibri" w:hAnsi="Calibri"/>
          <w:i/>
          <w:sz w:val="22"/>
        </w:rPr>
        <w:t>Fair market of a channel slot: near-zero unless someone searches for the ISTV brand.</w:t>
      </w:r>
    </w:p>
    <w:p>
      <w:pPr>
        <w:pStyle w:val="ListBullet"/>
        <w:spacing w:after="40"/>
        <w:ind w:left="360"/>
      </w:pPr>
      <w:r>
        <w:rPr>
          <w:rFonts w:ascii="Calibri" w:hAnsi="Calibri"/>
          <w:sz w:val="22"/>
        </w:rPr>
        <w:t xml:space="preserve">Promotional trailer + social graphics + press release + IMDb-application help — </w:t>
      </w:r>
      <w:r>
        <w:rPr>
          <w:rFonts w:ascii="Calibri" w:hAnsi="Calibri"/>
          <w:i/>
          <w:sz w:val="22"/>
        </w:rPr>
        <w:t>fair market: $500–1k</w:t>
      </w:r>
    </w:p>
    <w:p>
      <w:pPr>
        <w:spacing w:after="120"/>
      </w:pPr>
      <w:r>
        <w:rPr>
          <w:rFonts w:ascii="Calibri" w:hAnsi="Calibri"/>
          <w:b/>
          <w:sz w:val="22"/>
        </w:rPr>
        <w:t>Fair-market rebuild cost: roughly $6–10k</w:t>
      </w:r>
      <w:r>
        <w:rPr>
          <w:rFonts w:ascii="Calibri" w:hAnsi="Calibri"/>
          <w:sz w:val="22"/>
        </w:rPr>
        <w:t xml:space="preserve"> if you hired a documentary house directly — with full ownership, no non-compete, no class-action waiver, no perpetual license to your likeness for their marketing, and full takedown rights.</w:t>
      </w:r>
    </w:p>
    <w:p>
      <w:pPr>
        <w:spacing w:before="200" w:after="40"/>
      </w:pPr>
      <w:r>
        <w:rPr>
          <w:rFonts w:ascii="Arial" w:hAnsi="Arial"/>
          <w:b/>
          <w:color w:val="8B4513"/>
          <w:sz w:val="24"/>
        </w:rPr>
        <w:t>The premium ISTV charges is a credential premium</w:t>
      </w:r>
    </w:p>
    <w:p>
      <w:pPr>
        <w:spacing w:after="120"/>
      </w:pPr>
      <w:r>
        <w:rPr>
          <w:rFonts w:ascii="Calibri" w:hAnsi="Calibri"/>
          <w:sz w:val="22"/>
        </w:rPr>
        <w:t xml:space="preserve">"As seen on Amazon Prime / Roku / Apple TV" — this is genuinely valuable </w:t>
      </w:r>
      <w:r>
        <w:rPr>
          <w:rFonts w:ascii="Calibri" w:hAnsi="Calibri"/>
          <w:b/>
          <w:sz w:val="22"/>
        </w:rPr>
        <w:t>only</w:t>
      </w:r>
      <w:r>
        <w:rPr>
          <w:rFonts w:ascii="Calibri" w:hAnsi="Calibri"/>
          <w:sz w:val="22"/>
        </w:rPr>
        <w:t xml:space="preserve"> in these two use cases:</w:t>
      </w:r>
    </w:p>
    <w:p>
      <w:pPr>
        <w:pStyle w:val="ListBullet"/>
        <w:spacing w:after="40"/>
        <w:ind w:left="360"/>
      </w:pPr>
      <w:r>
        <w:rPr>
          <w:rFonts w:ascii="Calibri" w:hAnsi="Calibri"/>
          <w:sz w:val="22"/>
        </w:rPr>
        <w:t>Sales/authority pages for high-ticket coaching or B2B services where prospects click a logo bar and don't investigate.</w:t>
      </w:r>
    </w:p>
    <w:p>
      <w:pPr>
        <w:pStyle w:val="ListBullet"/>
        <w:spacing w:after="40"/>
        <w:ind w:left="360"/>
      </w:pPr>
      <w:r>
        <w:rPr>
          <w:rFonts w:ascii="Calibri" w:hAnsi="Calibri"/>
          <w:sz w:val="22"/>
        </w:rPr>
        <w:t>Investor decks where a logo carousel adds surface-level credibility.</w:t>
      </w:r>
    </w:p>
    <w:p>
      <w:pPr>
        <w:spacing w:after="120"/>
      </w:pPr>
      <w:r>
        <w:rPr>
          <w:rFonts w:ascii="Calibri" w:hAnsi="Calibri"/>
          <w:sz w:val="22"/>
        </w:rPr>
        <w:t xml:space="preserve">Neither is Birthright's primary conversion driver. Birthright converts on story, mission, and human trust — not on Amazon Prime placement. </w:t>
      </w:r>
      <w:r>
        <w:rPr>
          <w:rFonts w:ascii="Calibri" w:hAnsi="Calibri"/>
          <w:b/>
          <w:sz w:val="22"/>
        </w:rPr>
        <w:t>The credential premium is worth $2–3k, not the ~$6k gap.</w:t>
      </w:r>
    </w:p>
    <w:p>
      <w:pPr>
        <w:spacing w:before="200" w:after="40"/>
      </w:pPr>
      <w:r>
        <w:rPr>
          <w:rFonts w:ascii="Arial" w:hAnsi="Arial"/>
          <w:b/>
          <w:color w:val="8B4513"/>
          <w:sz w:val="24"/>
        </w:rPr>
        <w:t>Did anything materially change since our prior analysis?</w:t>
      </w:r>
    </w:p>
    <w:p>
      <w:pPr>
        <w:spacing w:after="120"/>
      </w:pPr>
      <w:r>
        <w:rPr>
          <w:rFonts w:ascii="Calibri" w:hAnsi="Calibri"/>
          <w:b/>
          <w:sz w:val="22"/>
        </w:rPr>
        <w:t>No.</w:t>
      </w:r>
      <w:r>
        <w:rPr>
          <w:rFonts w:ascii="Calibri" w:hAnsi="Calibri"/>
          <w:sz w:val="22"/>
        </w:rPr>
        <w:t xml:space="preserve"> In fact three things got worse once we read the actual contract:</w:t>
      </w:r>
    </w:p>
    <w:p>
      <w:pPr>
        <w:pStyle w:val="ListBullet"/>
        <w:spacing w:after="40"/>
        <w:ind w:left="360"/>
      </w:pPr>
      <w:r>
        <w:rPr>
          <w:rFonts w:ascii="Calibri" w:hAnsi="Calibri"/>
          <w:sz w:val="22"/>
        </w:rPr>
        <w:t>Mary's softening language is legally void (§12).</w:t>
      </w:r>
    </w:p>
    <w:p>
      <w:pPr>
        <w:pStyle w:val="ListBullet"/>
        <w:spacing w:after="40"/>
        <w:ind w:left="360"/>
      </w:pPr>
      <w:r>
        <w:rPr>
          <w:rFonts w:ascii="Calibri" w:hAnsi="Calibri"/>
          <w:sz w:val="22"/>
        </w:rPr>
        <w:t>Chargebacks are booby-trapped (§11).</w:t>
      </w:r>
    </w:p>
    <w:p>
      <w:pPr>
        <w:pStyle w:val="ListBullet"/>
        <w:spacing w:after="40"/>
        <w:ind w:left="360"/>
      </w:pPr>
      <w:r>
        <w:rPr>
          <w:rFonts w:ascii="Calibri" w:hAnsi="Calibri"/>
          <w:sz w:val="22"/>
        </w:rPr>
        <w:t>Non-compete is broader than a mid-market TV deal would ever require.</w:t>
      </w:r>
    </w:p>
    <w:p>
      <w:pPr>
        <w:spacing w:after="120"/>
      </w:pPr>
      <w:r>
        <w:rPr>
          <w:rFonts w:ascii="Calibri" w:hAnsi="Calibri"/>
          <w:sz w:val="22"/>
        </w:rPr>
        <w:t>The only material positive from Mary's email — co-ownership — is contradicted by §6's license framing and rendered practically meaningless by the OTT/streaming restrictions.</w:t>
      </w:r>
    </w:p>
    <w:p>
      <w:pPr>
        <w:spacing w:before="200" w:after="40"/>
      </w:pPr>
      <w:r>
        <w:rPr>
          <w:rFonts w:ascii="Arial" w:hAnsi="Arial"/>
          <w:b/>
          <w:color w:val="8B4513"/>
          <w:sz w:val="24"/>
        </w:rPr>
        <w:t>Alternatives (all give you more control for less money)</w:t>
      </w:r>
    </w:p>
    <w:tbl>
      <w:tblPr>
        <w:tblStyle w:val="LightList-Accent1"/>
        <w:tblW w:type="auto" w:w="0"/>
        <w:tblLook w:firstColumn="1" w:firstRow="1" w:lastColumn="0" w:lastRow="0" w:noHBand="0" w:noVBand="1" w:val="04A0"/>
      </w:tblPr>
      <w:tblGrid>
        <w:gridCol w:w="1994"/>
        <w:gridCol w:w="1994"/>
        <w:gridCol w:w="1994"/>
        <w:gridCol w:w="1994"/>
        <w:gridCol w:w="1994"/>
      </w:tblGrid>
      <w:tr>
        <w:tc>
          <w:tcPr>
            <w:tcW w:type="dxa" w:w="3456"/>
            <w:shd w:val="clear" w:color="auto" w:fill="0F2424"/>
            <w:vAlign w:val="center"/>
          </w:tcPr>
          <w:p>
            <w:r>
              <w:rPr>
                <w:rFonts w:ascii="Arial" w:hAnsi="Arial"/>
                <w:b/>
                <w:color w:val="FFFFFF"/>
                <w:sz w:val="20"/>
              </w:rPr>
              <w:t>Option</w:t>
            </w:r>
          </w:p>
        </w:tc>
        <w:tc>
          <w:tcPr>
            <w:tcW w:type="dxa" w:w="1584"/>
            <w:shd w:val="clear" w:color="auto" w:fill="0F2424"/>
            <w:vAlign w:val="center"/>
          </w:tcPr>
          <w:p>
            <w:r>
              <w:rPr>
                <w:rFonts w:ascii="Arial" w:hAnsi="Arial"/>
                <w:b/>
                <w:color w:val="FFFFFF"/>
                <w:sz w:val="20"/>
              </w:rPr>
              <w:t>Estimated cost</w:t>
            </w:r>
          </w:p>
        </w:tc>
        <w:tc>
          <w:tcPr>
            <w:tcW w:type="dxa" w:w="1584"/>
            <w:shd w:val="clear" w:color="auto" w:fill="0F2424"/>
            <w:vAlign w:val="center"/>
          </w:tcPr>
          <w:p>
            <w:r>
              <w:rPr>
                <w:rFonts w:ascii="Arial" w:hAnsi="Arial"/>
                <w:b/>
                <w:color w:val="FFFFFF"/>
                <w:sz w:val="20"/>
              </w:rPr>
              <w:t>Ownership</w:t>
            </w:r>
          </w:p>
        </w:tc>
        <w:tc>
          <w:tcPr>
            <w:tcW w:type="dxa" w:w="1728"/>
            <w:shd w:val="clear" w:color="auto" w:fill="0F2424"/>
            <w:vAlign w:val="center"/>
          </w:tcPr>
          <w:p>
            <w:r>
              <w:rPr>
                <w:rFonts w:ascii="Arial" w:hAnsi="Arial"/>
                <w:b/>
                <w:color w:val="FFFFFF"/>
                <w:sz w:val="20"/>
              </w:rPr>
              <w:t>Editorial control</w:t>
            </w:r>
          </w:p>
        </w:tc>
        <w:tc>
          <w:tcPr>
            <w:tcW w:type="dxa" w:w="2016"/>
            <w:shd w:val="clear" w:color="auto" w:fill="0F2424"/>
            <w:vAlign w:val="center"/>
          </w:tcPr>
          <w:p>
            <w:r>
              <w:rPr>
                <w:rFonts w:ascii="Arial" w:hAnsi="Arial"/>
                <w:b/>
                <w:color w:val="FFFFFF"/>
                <w:sz w:val="20"/>
              </w:rPr>
              <w:t>Reach</w:t>
            </w:r>
          </w:p>
        </w:tc>
      </w:tr>
      <w:tr>
        <w:tc>
          <w:tcPr>
            <w:tcW w:type="dxa" w:w="3456"/>
          </w:tcPr>
          <w:p>
            <w:r>
              <w:rPr>
                <w:rFonts w:ascii="Calibri" w:hAnsi="Calibri"/>
                <w:sz w:val="20"/>
              </w:rPr>
              <w:t>Direct documentary producer (2 quotes + LinkedIn outreach)</w:t>
            </w:r>
          </w:p>
        </w:tc>
        <w:tc>
          <w:tcPr>
            <w:tcW w:type="dxa" w:w="1584"/>
          </w:tcPr>
          <w:p>
            <w:r>
              <w:rPr>
                <w:rFonts w:ascii="Calibri" w:hAnsi="Calibri"/>
                <w:sz w:val="20"/>
              </w:rPr>
              <w:t>$4–8k</w:t>
            </w:r>
          </w:p>
        </w:tc>
        <w:tc>
          <w:tcPr>
            <w:tcW w:type="dxa" w:w="1584"/>
          </w:tcPr>
          <w:p>
            <w:r>
              <w:rPr>
                <w:rFonts w:ascii="Calibri" w:hAnsi="Calibri"/>
                <w:sz w:val="20"/>
              </w:rPr>
              <w:t>100% you</w:t>
            </w:r>
          </w:p>
        </w:tc>
        <w:tc>
          <w:tcPr>
            <w:tcW w:type="dxa" w:w="1728"/>
          </w:tcPr>
          <w:p>
            <w:r>
              <w:rPr>
                <w:rFonts w:ascii="Calibri" w:hAnsi="Calibri"/>
                <w:sz w:val="20"/>
              </w:rPr>
              <w:t>Full</w:t>
            </w:r>
          </w:p>
        </w:tc>
        <w:tc>
          <w:tcPr>
            <w:tcW w:type="dxa" w:w="2016"/>
          </w:tcPr>
          <w:p>
            <w:r>
              <w:rPr>
                <w:rFonts w:ascii="Calibri" w:hAnsi="Calibri"/>
                <w:sz w:val="20"/>
              </w:rPr>
              <w:t>You promote</w:t>
            </w:r>
          </w:p>
        </w:tc>
      </w:tr>
      <w:tr>
        <w:tc>
          <w:tcPr>
            <w:tcW w:type="dxa" w:w="3456"/>
          </w:tcPr>
          <w:p>
            <w:r>
              <w:rPr>
                <w:rFonts w:ascii="Calibri" w:hAnsi="Calibri"/>
                <w:sz w:val="20"/>
              </w:rPr>
              <w:t>Podcast tour (5–8 mid-tier shows)</w:t>
            </w:r>
          </w:p>
        </w:tc>
        <w:tc>
          <w:tcPr>
            <w:tcW w:type="dxa" w:w="1584"/>
          </w:tcPr>
          <w:p>
            <w:r>
              <w:rPr>
                <w:rFonts w:ascii="Calibri" w:hAnsi="Calibri"/>
                <w:sz w:val="20"/>
              </w:rPr>
              <w:t>$0–2k outreach</w:t>
            </w:r>
          </w:p>
        </w:tc>
        <w:tc>
          <w:tcPr>
            <w:tcW w:type="dxa" w:w="1584"/>
          </w:tcPr>
          <w:p>
            <w:r>
              <w:rPr>
                <w:rFonts w:ascii="Calibri" w:hAnsi="Calibri"/>
                <w:sz w:val="20"/>
              </w:rPr>
              <w:t>100% you</w:t>
            </w:r>
          </w:p>
        </w:tc>
        <w:tc>
          <w:tcPr>
            <w:tcW w:type="dxa" w:w="1728"/>
          </w:tcPr>
          <w:p>
            <w:r>
              <w:rPr>
                <w:rFonts w:ascii="Calibri" w:hAnsi="Calibri"/>
                <w:sz w:val="20"/>
              </w:rPr>
              <w:t>Full</w:t>
            </w:r>
          </w:p>
        </w:tc>
        <w:tc>
          <w:tcPr>
            <w:tcW w:type="dxa" w:w="2016"/>
          </w:tcPr>
          <w:p>
            <w:r>
              <w:rPr>
                <w:rFonts w:ascii="Calibri" w:hAnsi="Calibri"/>
                <w:sz w:val="20"/>
              </w:rPr>
              <w:t>Comparable</w:t>
            </w:r>
          </w:p>
        </w:tc>
      </w:tr>
      <w:tr>
        <w:tc>
          <w:tcPr>
            <w:tcW w:type="dxa" w:w="3456"/>
          </w:tcPr>
          <w:p>
            <w:r>
              <w:rPr>
                <w:rFonts w:ascii="Calibri" w:hAnsi="Calibri"/>
                <w:sz w:val="20"/>
              </w:rPr>
              <w:t>Targeted PR retainer (3 months, boutique agency)</w:t>
            </w:r>
          </w:p>
        </w:tc>
        <w:tc>
          <w:tcPr>
            <w:tcW w:type="dxa" w:w="1584"/>
          </w:tcPr>
          <w:p>
            <w:r>
              <w:rPr>
                <w:rFonts w:ascii="Calibri" w:hAnsi="Calibri"/>
                <w:sz w:val="20"/>
              </w:rPr>
              <w:t>$9–12k</w:t>
            </w:r>
          </w:p>
        </w:tc>
        <w:tc>
          <w:tcPr>
            <w:tcW w:type="dxa" w:w="1584"/>
          </w:tcPr>
          <w:p>
            <w:r>
              <w:rPr>
                <w:rFonts w:ascii="Calibri" w:hAnsi="Calibri"/>
                <w:sz w:val="20"/>
              </w:rPr>
              <w:t>N/A</w:t>
            </w:r>
          </w:p>
        </w:tc>
        <w:tc>
          <w:tcPr>
            <w:tcW w:type="dxa" w:w="1728"/>
          </w:tcPr>
          <w:p>
            <w:r>
              <w:rPr>
                <w:rFonts w:ascii="Calibri" w:hAnsi="Calibri"/>
                <w:sz w:val="20"/>
              </w:rPr>
              <w:t>Full</w:t>
            </w:r>
          </w:p>
        </w:tc>
        <w:tc>
          <w:tcPr>
            <w:tcW w:type="dxa" w:w="2016"/>
          </w:tcPr>
          <w:p>
            <w:r>
              <w:rPr>
                <w:rFonts w:ascii="Calibri" w:hAnsi="Calibri"/>
                <w:sz w:val="20"/>
              </w:rPr>
              <w:t>Higher DA backlinks</w:t>
            </w:r>
          </w:p>
        </w:tc>
      </w:tr>
      <w:tr>
        <w:tc>
          <w:tcPr>
            <w:tcW w:type="dxa" w:w="3456"/>
          </w:tcPr>
          <w:p>
            <w:r>
              <w:rPr>
                <w:rFonts w:ascii="Calibri" w:hAnsi="Calibri"/>
                <w:sz w:val="20"/>
              </w:rPr>
              <w:t>Own docuseries — Birthright Films Ep. 1</w:t>
            </w:r>
          </w:p>
        </w:tc>
        <w:tc>
          <w:tcPr>
            <w:tcW w:type="dxa" w:w="1584"/>
          </w:tcPr>
          <w:p>
            <w:r>
              <w:rPr>
                <w:rFonts w:ascii="Calibri" w:hAnsi="Calibri"/>
                <w:sz w:val="20"/>
              </w:rPr>
              <w:t>$6–10k</w:t>
            </w:r>
          </w:p>
        </w:tc>
        <w:tc>
          <w:tcPr>
            <w:tcW w:type="dxa" w:w="1584"/>
          </w:tcPr>
          <w:p>
            <w:r>
              <w:rPr>
                <w:rFonts w:ascii="Calibri" w:hAnsi="Calibri"/>
                <w:sz w:val="20"/>
              </w:rPr>
              <w:t>100% you</w:t>
            </w:r>
          </w:p>
        </w:tc>
        <w:tc>
          <w:tcPr>
            <w:tcW w:type="dxa" w:w="1728"/>
          </w:tcPr>
          <w:p>
            <w:r>
              <w:rPr>
                <w:rFonts w:ascii="Calibri" w:hAnsi="Calibri"/>
                <w:sz w:val="20"/>
              </w:rPr>
              <w:t>Full</w:t>
            </w:r>
          </w:p>
        </w:tc>
        <w:tc>
          <w:tcPr>
            <w:tcW w:type="dxa" w:w="2016"/>
          </w:tcPr>
          <w:p>
            <w:r>
              <w:rPr>
                <w:rFonts w:ascii="Calibri" w:hAnsi="Calibri"/>
                <w:sz w:val="20"/>
              </w:rPr>
              <w:t>Owned distribution, no non-compete</w:t>
            </w:r>
          </w:p>
        </w:tc>
      </w:tr>
      <w:tr>
        <w:tc>
          <w:tcPr>
            <w:tcW w:type="dxa" w:w="3456"/>
          </w:tcPr>
          <w:p>
            <w:r>
              <w:rPr>
                <w:rFonts w:ascii="Calibri" w:hAnsi="Calibri"/>
                <w:b/>
                <w:sz w:val="20"/>
              </w:rPr>
              <w:t>ISTV</w:t>
            </w:r>
          </w:p>
        </w:tc>
        <w:tc>
          <w:tcPr>
            <w:tcW w:type="dxa" w:w="1584"/>
          </w:tcPr>
          <w:p>
            <w:r>
              <w:rPr>
                <w:rFonts w:ascii="Calibri" w:hAnsi="Calibri"/>
                <w:b/>
                <w:sz w:val="20"/>
              </w:rPr>
              <w:t>$12k + $1k reshoot risk</w:t>
            </w:r>
          </w:p>
        </w:tc>
        <w:tc>
          <w:tcPr>
            <w:tcW w:type="dxa" w:w="1584"/>
          </w:tcPr>
          <w:p>
            <w:r>
              <w:rPr>
                <w:rFonts w:ascii="Calibri" w:hAnsi="Calibri"/>
                <w:b/>
                <w:sz w:val="20"/>
              </w:rPr>
              <w:t>Contradicted</w:t>
            </w:r>
          </w:p>
        </w:tc>
        <w:tc>
          <w:tcPr>
            <w:tcW w:type="dxa" w:w="1728"/>
          </w:tcPr>
          <w:p>
            <w:r>
              <w:rPr>
                <w:rFonts w:ascii="Calibri" w:hAnsi="Calibri"/>
                <w:b/>
                <w:sz w:val="20"/>
              </w:rPr>
              <w:t>ISTV has final say</w:t>
            </w:r>
          </w:p>
        </w:tc>
        <w:tc>
          <w:tcPr>
            <w:tcW w:type="dxa" w:w="2016"/>
          </w:tcPr>
          <w:p>
            <w:r>
              <w:rPr>
                <w:rFonts w:ascii="Calibri" w:hAnsi="Calibri"/>
                <w:b/>
                <w:sz w:val="20"/>
              </w:rPr>
              <w:t>Undisclosed</w:t>
            </w:r>
          </w:p>
        </w:tc>
      </w:tr>
    </w:tbl>
    <w:p/>
    <w:p>
      <w:pPr>
        <w:spacing w:before="200" w:after="40"/>
      </w:pPr>
      <w:r>
        <w:rPr>
          <w:rFonts w:ascii="Arial" w:hAnsi="Arial"/>
          <w:b/>
          <w:color w:val="8B4513"/>
          <w:sz w:val="24"/>
        </w:rPr>
        <w:t>The invisible costs of signing</w:t>
      </w:r>
    </w:p>
    <w:p>
      <w:pPr>
        <w:pStyle w:val="ListBullet"/>
        <w:spacing w:after="40"/>
        <w:ind w:left="360"/>
      </w:pPr>
      <w:r>
        <w:rPr>
          <w:rFonts w:ascii="Calibri" w:hAnsi="Calibri"/>
          <w:b/>
          <w:sz w:val="22"/>
        </w:rPr>
        <w:t>Opportunity cost of the non-compete</w:t>
      </w:r>
      <w:r>
        <w:rPr>
          <w:rFonts w:ascii="Calibri" w:hAnsi="Calibri"/>
          <w:sz w:val="22"/>
        </w:rPr>
        <w:t xml:space="preserve"> — 3 years locked out of a category Birthright could legitimately enter.</w:t>
      </w:r>
    </w:p>
    <w:p>
      <w:pPr>
        <w:pStyle w:val="ListBullet"/>
        <w:spacing w:after="40"/>
        <w:ind w:left="360"/>
      </w:pPr>
      <w:r>
        <w:rPr>
          <w:rFonts w:ascii="Calibri" w:hAnsi="Calibri"/>
          <w:b/>
          <w:sz w:val="22"/>
        </w:rPr>
        <w:t>Perpetual license to your likeness</w:t>
      </w:r>
      <w:r>
        <w:rPr>
          <w:rFonts w:ascii="Calibri" w:hAnsi="Calibri"/>
          <w:sz w:val="22"/>
        </w:rPr>
        <w:t xml:space="preserve"> for ISTV to promote their show (§8: "You grant us a perpetual license to use your submitted content for editorial, promotional, and broadcast purposes related to the show"). Your face becomes marketing for their brand, forever.</w:t>
      </w:r>
    </w:p>
    <w:p>
      <w:pPr>
        <w:pStyle w:val="ListBullet"/>
        <w:spacing w:after="40"/>
        <w:ind w:left="360"/>
      </w:pPr>
      <w:r>
        <w:rPr>
          <w:rFonts w:ascii="Calibri" w:hAnsi="Calibri"/>
          <w:b/>
          <w:sz w:val="22"/>
        </w:rPr>
        <w:t>Chargeback trap</w:t>
      </w:r>
      <w:r>
        <w:rPr>
          <w:rFonts w:ascii="Calibri" w:hAnsi="Calibri"/>
          <w:sz w:val="22"/>
        </w:rPr>
        <w:t xml:space="preserve"> — if they underdeliver, you cannot recover funds by any normal consumer remedy.</w:t>
      </w:r>
    </w:p>
    <w:p>
      <w:pPr>
        <w:pStyle w:val="ListBullet"/>
        <w:spacing w:after="40"/>
        <w:ind w:left="360"/>
      </w:pPr>
      <w:r>
        <w:rPr>
          <w:rFonts w:ascii="Calibri" w:hAnsi="Calibri"/>
          <w:b/>
          <w:sz w:val="22"/>
        </w:rPr>
        <w:t>Sunk-cost trap on future upsells</w:t>
      </w:r>
      <w:r>
        <w:rPr>
          <w:rFonts w:ascii="Calibri" w:hAnsi="Calibri"/>
          <w:sz w:val="22"/>
        </w:rPr>
        <w:t xml:space="preserve"> — Mary already flagged "guaranteed views are only available in upgraded packages." Once you're $12k in, the next $5k feels rational.</w:t>
      </w:r>
    </w:p>
    <w:p>
      <w:pPr>
        <w:spacing w:before="320" w:after="80"/>
      </w:pPr>
      <w:r>
        <w:rPr>
          <w:rFonts w:ascii="Georgia" w:hAnsi="Georgia"/>
          <w:b/>
          <w:color w:val="0F2424"/>
          <w:sz w:val="32"/>
        </w:rPr>
        <w:t>Section 3 — Is Ina's 2-Week Entity Timeline the Dealbreaker?</w:t>
      </w:r>
    </w:p>
    <w:p>
      <w:pPr>
        <w:spacing w:after="120"/>
      </w:pPr>
      <w:r>
        <w:rPr>
          <w:rFonts w:ascii="Calibri" w:hAnsi="Calibri"/>
          <w:b/>
          <w:sz w:val="22"/>
        </w:rPr>
        <w:t>No. The contract is the dealbreaker.</w:t>
      </w:r>
    </w:p>
    <w:p>
      <w:pPr>
        <w:spacing w:after="120"/>
      </w:pPr>
      <w:r>
        <w:rPr>
          <w:rFonts w:ascii="Calibri" w:hAnsi="Calibri"/>
          <w:sz w:val="22"/>
        </w:rPr>
        <w:t>Consider what Ina's timeline actually reveals:</w:t>
      </w:r>
    </w:p>
    <w:p>
      <w:pPr>
        <w:pStyle w:val="ListBullet"/>
        <w:spacing w:after="40"/>
        <w:ind w:left="360"/>
      </w:pPr>
      <w:r>
        <w:rPr>
          <w:rFonts w:ascii="Calibri" w:hAnsi="Calibri"/>
          <w:sz w:val="22"/>
        </w:rPr>
        <w:t>She's telling you it takes 2 weeks to properly form a company that shields you from personal liability.</w:t>
      </w:r>
    </w:p>
    <w:p>
      <w:pPr>
        <w:pStyle w:val="ListBullet"/>
        <w:spacing w:after="40"/>
        <w:ind w:left="360"/>
      </w:pPr>
      <w:r>
        <w:rPr>
          <w:rFonts w:ascii="Calibri" w:hAnsi="Calibri"/>
          <w:sz w:val="22"/>
        </w:rPr>
        <w:t>Mary is telling you she can push the meeting "a day or so."</w:t>
      </w:r>
    </w:p>
    <w:p>
      <w:pPr>
        <w:pStyle w:val="ListBullet"/>
        <w:spacing w:after="40"/>
        <w:ind w:left="360"/>
      </w:pPr>
      <w:r>
        <w:rPr>
          <w:rFonts w:ascii="Calibri" w:hAnsi="Calibri"/>
          <w:sz w:val="22"/>
        </w:rPr>
        <w:t>The gap between those two numbers is the size of the manipulation.</w:t>
      </w:r>
    </w:p>
    <w:p>
      <w:pPr>
        <w:spacing w:after="120"/>
      </w:pPr>
      <w:r>
        <w:rPr>
          <w:rFonts w:ascii="Calibri" w:hAnsi="Calibri"/>
          <w:sz w:val="22"/>
        </w:rPr>
        <w:t>A counterparty that respects your process gives you the two weeks. A counterparty that has closing-quota pressure asks you to sign personally to lock in a "preferred rate" that is almost certainly available whenever you're actually ready to buy.</w:t>
      </w:r>
    </w:p>
    <w:p>
      <w:pPr>
        <w:spacing w:before="200" w:after="40"/>
      </w:pPr>
      <w:r>
        <w:rPr>
          <w:rFonts w:ascii="Arial" w:hAnsi="Arial"/>
          <w:b/>
          <w:color w:val="8B4513"/>
          <w:sz w:val="24"/>
        </w:rPr>
        <w:t>Test whether the "preferred rate" is real</w:t>
      </w:r>
    </w:p>
    <w:p>
      <w:pPr>
        <w:spacing w:after="120"/>
      </w:pPr>
      <w:r>
        <w:rPr>
          <w:rFonts w:ascii="Calibri" w:hAnsi="Calibri"/>
          <w:sz w:val="22"/>
        </w:rPr>
        <w:t>Reply with the entity-formation timeline explicitly. One of three things happens:</w:t>
      </w:r>
    </w:p>
    <w:p>
      <w:pPr>
        <w:pStyle w:val="ListBullet"/>
        <w:spacing w:after="40"/>
        <w:ind w:left="360"/>
      </w:pPr>
      <w:r>
        <w:rPr>
          <w:rFonts w:ascii="Calibri" w:hAnsi="Calibri"/>
          <w:b/>
          <w:sz w:val="22"/>
        </w:rPr>
        <w:t>She holds the rate</w:t>
      </w:r>
      <w:r>
        <w:rPr>
          <w:rFonts w:ascii="Calibri" w:hAnsi="Calibri"/>
          <w:sz w:val="22"/>
        </w:rPr>
        <w:t xml:space="preserve"> → the pressure was theater. You proceed on your timeline.</w:t>
      </w:r>
    </w:p>
    <w:p>
      <w:pPr>
        <w:pStyle w:val="ListBullet"/>
        <w:spacing w:after="40"/>
        <w:ind w:left="360"/>
      </w:pPr>
      <w:r>
        <w:rPr>
          <w:rFonts w:ascii="Calibri" w:hAnsi="Calibri"/>
          <w:b/>
          <w:sz w:val="22"/>
        </w:rPr>
        <w:t>She raises the rate modestly</w:t>
      </w:r>
      <w:r>
        <w:rPr>
          <w:rFonts w:ascii="Calibri" w:hAnsi="Calibri"/>
          <w:sz w:val="22"/>
        </w:rPr>
        <w:t xml:space="preserve"> → she has some flexibility. You negotiate.</w:t>
      </w:r>
    </w:p>
    <w:p>
      <w:pPr>
        <w:pStyle w:val="ListBullet"/>
        <w:spacing w:after="40"/>
        <w:ind w:left="360"/>
      </w:pPr>
      <w:r>
        <w:rPr>
          <w:rFonts w:ascii="Calibri" w:hAnsi="Calibri"/>
          <w:b/>
          <w:sz w:val="22"/>
        </w:rPr>
        <w:t>She raises the rate significantly or walks</w:t>
      </w:r>
      <w:r>
        <w:rPr>
          <w:rFonts w:ascii="Calibri" w:hAnsi="Calibri"/>
          <w:sz w:val="22"/>
        </w:rPr>
        <w:t xml:space="preserve"> → she was closing on a manufactured deadline. This is a gift. You saved $12k plus permanent contractual exposure.</w:t>
      </w:r>
    </w:p>
    <w:p>
      <w:pPr>
        <w:spacing w:after="120"/>
      </w:pPr>
      <w:r>
        <w:rPr>
          <w:rFonts w:ascii="Calibri" w:hAnsi="Calibri"/>
          <w:sz w:val="22"/>
        </w:rPr>
        <w:t>Any outcome from that test is a win for Birthright.</w:t>
      </w:r>
    </w:p>
    <w:p>
      <w:pPr>
        <w:spacing w:before="320" w:after="80"/>
      </w:pPr>
      <w:r>
        <w:rPr>
          <w:rFonts w:ascii="Georgia" w:hAnsi="Georgia"/>
          <w:b/>
          <w:color w:val="0F2424"/>
          <w:sz w:val="32"/>
        </w:rPr>
        <w:t>Final Recommendation</w:t>
      </w:r>
    </w:p>
    <w:tbl>
      <w:tblPr>
        <w:tblW w:type="auto" w:w="0"/>
        <w:tblLayout w:type="autofit"/>
        <w:tblLook w:firstColumn="1" w:firstRow="1" w:lastColumn="0" w:lastRow="0" w:noHBand="0" w:noVBand="1" w:val="04A0"/>
      </w:tblPr>
      <w:tblGrid>
        <w:gridCol w:w="9972"/>
      </w:tblGrid>
      <w:tr>
        <w:tc>
          <w:tcPr>
            <w:tcW w:type="dxa" w:w="9972"/>
            <w:shd w:val="clear" w:color="auto" w:fill="F9E5E1"/>
          </w:tcPr>
          <w:p>
            <w:r>
              <w:rPr>
                <w:rFonts w:ascii="Arial" w:hAnsi="Arial"/>
                <w:b/>
                <w:color w:val="8B0000"/>
                <w:sz w:val="22"/>
              </w:rPr>
              <w:t>Do not sign this contract.</w:t>
            </w:r>
          </w:p>
          <w:p>
            <w:r>
              <w:rPr>
                <w:rFonts w:ascii="Calibri" w:hAnsi="Calibri"/>
                <w:color w:val="0F2424"/>
                <w:sz w:val="22"/>
              </w:rPr>
              <w:t>The value is not there. The terms are worse than Mary's summary. The "co-ownership" is contradicted internally. The non-compete is broader than it needs to be. Mary explicitly refuses to redline.</w:t>
            </w:r>
          </w:p>
        </w:tc>
      </w:tr>
    </w:tbl>
    <w:p/>
    <w:p>
      <w:pPr>
        <w:spacing w:after="120"/>
      </w:pPr>
      <w:r>
        <w:rPr>
          <w:rFonts w:ascii="Calibri" w:hAnsi="Calibri"/>
          <w:sz w:val="22"/>
        </w:rPr>
        <w:t>If your gut still wants the Amazon Prime logo:</w:t>
      </w:r>
    </w:p>
    <w:p>
      <w:pPr>
        <w:pStyle w:val="ListBullet"/>
        <w:spacing w:after="40"/>
        <w:ind w:left="360"/>
      </w:pPr>
      <w:r>
        <w:rPr>
          <w:rFonts w:ascii="Calibri" w:hAnsi="Calibri"/>
          <w:sz w:val="22"/>
        </w:rPr>
        <w:t>Wait for entity formation (2 weeks — non-negotiable).</w:t>
      </w:r>
    </w:p>
    <w:p>
      <w:pPr>
        <w:pStyle w:val="ListBullet"/>
        <w:spacing w:after="40"/>
        <w:ind w:left="360"/>
      </w:pPr>
      <w:r>
        <w:rPr>
          <w:rFonts w:ascii="Calibri" w:hAnsi="Calibri"/>
          <w:sz w:val="22"/>
        </w:rPr>
        <w:t>Underwrite 100% via sponsors first (Birthright's campaign flow is built for this).</w:t>
      </w:r>
    </w:p>
    <w:p>
      <w:pPr>
        <w:pStyle w:val="ListBullet"/>
        <w:spacing w:after="40"/>
        <w:ind w:left="360"/>
      </w:pPr>
      <w:r>
        <w:rPr>
          <w:rFonts w:ascii="Calibri" w:hAnsi="Calibri"/>
          <w:sz w:val="22"/>
        </w:rPr>
        <w:t xml:space="preserve">Reply asking specifically: </w:t>
      </w:r>
      <w:r>
        <w:rPr>
          <w:rFonts w:ascii="Calibri" w:hAnsi="Calibri"/>
          <w:i/>
          <w:sz w:val="22"/>
        </w:rPr>
        <w:t>"Please point us to the clause that reconciles §2 (co-ownership) with §6 (non-transferable license). We need those to align before signing."</w:t>
      </w:r>
    </w:p>
    <w:p>
      <w:pPr>
        <w:pStyle w:val="ListBullet"/>
        <w:spacing w:after="40"/>
        <w:ind w:left="360"/>
      </w:pPr>
      <w:r>
        <w:rPr>
          <w:rFonts w:ascii="Calibri" w:hAnsi="Calibri"/>
          <w:sz w:val="22"/>
        </w:rPr>
        <w:t>If she says "we don't redline" again, you have your answer.</w:t>
      </w:r>
    </w:p>
    <w:p>
      <w:pPr>
        <w:spacing w:before="200" w:after="40"/>
      </w:pPr>
      <w:r>
        <w:rPr>
          <w:rFonts w:ascii="Arial" w:hAnsi="Arial"/>
          <w:b/>
          <w:color w:val="8B4513"/>
          <w:sz w:val="24"/>
        </w:rPr>
        <w:t>Best use of the $12k right now</w:t>
      </w:r>
    </w:p>
    <w:p>
      <w:pPr>
        <w:spacing w:after="120"/>
      </w:pPr>
      <w:r>
        <w:rPr>
          <w:rFonts w:ascii="Calibri" w:hAnsi="Calibri"/>
          <w:sz w:val="22"/>
        </w:rPr>
        <w:t xml:space="preserve">Fund production of </w:t>
      </w:r>
      <w:r>
        <w:rPr>
          <w:rFonts w:ascii="Calibri" w:hAnsi="Calibri"/>
          <w:i/>
          <w:sz w:val="22"/>
        </w:rPr>
        <w:t>Birthright Films Episode 1</w:t>
      </w:r>
      <w:r>
        <w:rPr>
          <w:rFonts w:ascii="Calibri" w:hAnsi="Calibri"/>
          <w:sz w:val="22"/>
        </w:rPr>
        <w:t xml:space="preserve"> — an owned docuseries pilot. Same production quality, your ownership, your platform, your terms. Distribute it on your site, YouTube, Vimeo OTT, and pitch it to Prime Video's Direct program (free submission) for the exact same credential without any of the strings.</w:t>
      </w:r>
    </w:p>
    <w:p>
      <w:pPr>
        <w:spacing w:before="320" w:after="80"/>
      </w:pPr>
      <w:r>
        <w:rPr>
          <w:rFonts w:ascii="Georgia" w:hAnsi="Georgia"/>
          <w:b/>
          <w:color w:val="0F2424"/>
          <w:sz w:val="32"/>
        </w:rPr>
        <w:t>Suggested Reply to Mary (Firm but Warm)</w:t>
      </w:r>
    </w:p>
    <w:p>
      <w:pPr>
        <w:spacing w:before="80" w:after="120"/>
        <w:ind w:left="576"/>
        <w:pBdr>
          <w:left w:val="single" w:sz="18" w:space="1" w:color="C9A961"/>
        </w:pBdr>
      </w:pPr>
      <w:r>
        <w:rPr>
          <w:rFonts w:ascii="Georgia" w:hAnsi="Georgia"/>
          <w:i/>
          <w:color w:val="0F2424"/>
          <w:sz w:val="22"/>
        </w:rPr>
        <w:t>Mary — thank you for the thorough walkthrough and for sending the contract. After a careful read alongside our legal counsel, we're going to pass at this time.</w:t>
        <w:br/>
        <w:br/>
        <w:t>Two things drove the decision: (a) our counsel confirmed entity formation will take at least two weeks and we're not comfortable signing personally, and (b) after reviewing §2, §6, §9, §11 and §12 in the actual contract, the terms don't align with what we're building at Birthright.</w:t>
        <w:br/>
        <w:br/>
        <w:t>We appreciate your time and the transparency of your reply. If ISTV ever offers a version of the agreement executed at the entity level with narrower non-compete language and reciprocal takedown rights, we'd be open to revisiting.</w:t>
        <w:br/>
        <w:br/>
        <w:t>— James &amp; Amanda</w:t>
      </w:r>
    </w:p>
    <w:p>
      <w:pPr>
        <w:spacing w:after="120"/>
      </w:pPr>
      <w:r>
        <w:rPr>
          <w:rFonts w:ascii="Calibri" w:hAnsi="Calibri"/>
          <w:sz w:val="22"/>
        </w:rPr>
        <w:t>This closes cleanly, leaves the door open only on your terms, and — critically — creates a paper trail showing you declined for specific documented reasons. If ISTV comes back with "we can adjust," you will know the "we don't redline" posture was negotiable all along, which itself is diagnostic.</w:t>
      </w:r>
    </w:p>
    <w:p/>
    <w:tbl>
      <w:tblPr>
        <w:tblW w:type="auto" w:w="0"/>
        <w:tblLayout w:type="autofit"/>
        <w:tblLook w:firstColumn="1" w:firstRow="1" w:lastColumn="0" w:lastRow="0" w:noHBand="0" w:noVBand="1" w:val="04A0"/>
      </w:tblPr>
      <w:tblGrid>
        <w:gridCol w:w="9972"/>
      </w:tblGrid>
      <w:tr>
        <w:tc>
          <w:tcPr>
            <w:tcW w:type="dxa" w:w="9972"/>
            <w:shd w:val="clear" w:color="auto" w:fill="F4F1EA"/>
          </w:tcPr>
          <w:p>
            <w:r>
              <w:rPr>
                <w:rFonts w:ascii="Arial" w:hAnsi="Arial"/>
                <w:b/>
                <w:color w:val="5C6B6B"/>
                <w:sz w:val="22"/>
              </w:rPr>
              <w:t>Confidentiality &amp; Nature of This Memo</w:t>
            </w:r>
          </w:p>
          <w:p>
            <w:r>
              <w:rPr>
                <w:rFonts w:ascii="Calibri" w:hAnsi="Calibri"/>
                <w:color w:val="0F2424"/>
                <w:sz w:val="22"/>
              </w:rPr>
              <w:t>This memo is an internal business and strategic advisory document prepared for Birthright Foundation's founders and outside counsel. It is not a substitute for licensed legal advice. All contract clause interpretations should be independently verified by qualified counsel (Florida contract law applies). Distribute only to internal advisors and legal counsel.</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