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⚠️ **AI-GENERATED FIRST DRAFT — NOT LEGAL ADVICE**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was generated by an AI assistant as a starting point for</w:t>
      </w:r>
    </w:p>
    <w:p>
      <w:pPr>
        <w:ind w:left="288"/>
      </w:pPr>
      <w:r>
        <w:rPr>
          <w:i/>
          <w:color w:val="7C5316"/>
        </w:rPr>
        <w:t>outside counsel. It is not legal advice, has not been reviewed by an</w:t>
      </w:r>
    </w:p>
    <w:p>
      <w:pPr>
        <w:ind w:left="288"/>
      </w:pPr>
      <w:r>
        <w:rPr>
          <w:i/>
          <w:color w:val="7C5316"/>
        </w:rPr>
        <w:t>attorney, and MUST NOT be published, executed, or relied upon in its</w:t>
      </w:r>
    </w:p>
    <w:p>
      <w:pPr>
        <w:ind w:left="288"/>
      </w:pPr>
      <w:r>
        <w:rPr>
          <w:i/>
          <w:color w:val="7C5316"/>
        </w:rPr>
        <w:t>current form. Counsel must review, revise, adapt to the entity form and</w:t>
      </w:r>
    </w:p>
    <w:p>
      <w:pPr>
        <w:ind w:left="288"/>
      </w:pPr>
      <w:r>
        <w:rPr>
          <w:i/>
          <w:color w:val="7C5316"/>
        </w:rPr>
        <w:t>state of incorporation, and ratify before any use.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Generated for: Birthright Foundation</w:t>
      </w:r>
    </w:p>
    <w:p>
      <w:pPr>
        <w:ind w:left="288"/>
      </w:pPr>
      <w:r>
        <w:rPr>
          <w:i/>
          <w:color w:val="7C5316"/>
        </w:rPr>
        <w:t>(birthright.live) · Executive Director: James Reagan</w:t>
      </w:r>
    </w:p>
    <w:p>
      <w:pPr>
        <w:pStyle w:val="Heading1"/>
      </w:pPr>
      <w:r>
        <w:t>Community Partner Referral Agreement (Draft)</w:t>
      </w:r>
    </w:p>
    <w:p>
      <w:r>
        <w:t>Between Birthright Foundation and the referrer named below ("Partner").</w:t>
      </w:r>
    </w:p>
    <w:p>
      <w:pPr>
        <w:pStyle w:val="Heading2"/>
      </w:pPr>
      <w:r>
        <w:t>1. Referral Program</w:t>
      </w:r>
    </w:p>
    <w:p>
      <w:r>
        <w:t>Partner will promote Birthright and drive traffic to birthright.live using</w:t>
      </w:r>
    </w:p>
    <w:p>
      <w:r>
        <w:t>their assigned referral link (</w:t>
      </w:r>
      <w:hyperlink r:id="rId9">
        <w:r>
          <w:rPr>
            <w:color w:val="0563C1"/>
            <w:u w:val="single"/>
          </w:rPr>
          <w:t xml:space="preserve">/r/{slug}</w:t>
        </w:r>
      </w:hyperlink>
      <w:r>
        <w:t>). A 30-day cookie window</w:t>
      </w:r>
    </w:p>
    <w:p>
      <w:r>
        <w:t>attributes purchases made after the referred visit.</w:t>
      </w:r>
    </w:p>
    <w:p>
      <w:pPr>
        <w:pStyle w:val="Heading2"/>
      </w:pPr>
      <w:r>
        <w:t>2. Compensation</w:t>
      </w:r>
    </w:p>
    <w:p>
      <w:pPr>
        <w:pStyle w:val="ListBullet"/>
      </w:pPr>
      <w:r>
        <w:t>Partner earns [X%] of net revenue on attributed product sales, workshop</w:t>
      </w:r>
    </w:p>
    <w:p>
      <w:r>
        <w:t>registrations, and sponsorship signups, where "net" is gross less</w:t>
      </w:r>
    </w:p>
    <w:p>
      <w:r>
        <w:t>payment-processor fees and any refunds.</w:t>
      </w:r>
    </w:p>
    <w:p>
      <w:pPr>
        <w:pStyle w:val="ListBullet"/>
      </w:pPr>
      <w:r>
        <w:t>Compensation accrues at order fulfillment and becomes payable at the</w:t>
      </w:r>
    </w:p>
    <w:p>
      <w:r>
        <w:t>next monthly close.</w:t>
      </w:r>
    </w:p>
    <w:p>
      <w:pPr>
        <w:pStyle w:val="ListBullet"/>
      </w:pPr>
      <w:r>
        <w:t>Minimum payout: $50. Balances below the minimum roll forward.</w:t>
      </w:r>
    </w:p>
    <w:p>
      <w:pPr>
        <w:pStyle w:val="Heading2"/>
      </w:pPr>
      <w:r>
        <w:t>3. Payment Method</w:t>
      </w:r>
    </w:p>
    <w:p>
      <w:r>
        <w:t>Payouts are made via ACH (once Stripe Connect is activated) or manual</w:t>
      </w:r>
    </w:p>
    <w:p>
      <w:r>
        <w:t>transfer as agreed. Partner will complete Form W-9 (or W-8 for non-U.S.</w:t>
      </w:r>
    </w:p>
    <w:p>
      <w:r>
        <w:t>persons). Birthright will issue Form 1099-NEC where required.</w:t>
      </w:r>
    </w:p>
    <w:p>
      <w:pPr>
        <w:pStyle w:val="Heading2"/>
      </w:pPr>
      <w:r>
        <w:t>4. Clawback</w:t>
      </w:r>
    </w:p>
    <w:p>
      <w:r>
        <w:t>If a referred purchase is refunded, the corresponding referral commission</w:t>
      </w:r>
    </w:p>
    <w:p>
      <w:r>
        <w:t xml:space="preserve">is clawed back from Partner's next payout (see </w:t>
      </w:r>
      <w:r>
        <w:rPr>
          <w:rFonts w:ascii="Consolas" w:hAnsi="Consolas"/>
          <w:sz w:val="20"/>
        </w:rPr>
        <w:t>refund_cascades</w:t>
      </w:r>
      <w:r>
        <w:t xml:space="preserve"> in the</w:t>
      </w:r>
    </w:p>
    <w:p>
      <w:r>
        <w:t>platform).</w:t>
      </w:r>
    </w:p>
    <w:p>
      <w:pPr>
        <w:pStyle w:val="Heading2"/>
      </w:pPr>
      <w:r>
        <w:t>5. Conduct</w:t>
      </w:r>
    </w:p>
    <w:p>
      <w:r>
        <w:t>Partner will not (a) run paid ads bidding on the "birthright" trademark,</w:t>
      </w:r>
    </w:p>
    <w:p>
      <w:r>
        <w:t>(b) misrepresent Birthright's services, (c) engage in spam, unsolicited</w:t>
      </w:r>
    </w:p>
    <w:p>
      <w:r>
        <w:t>email, or cookie-stuffing, (d) offer unauthorized coupons or rebates.</w:t>
      </w:r>
    </w:p>
    <w:p>
      <w:pPr>
        <w:pStyle w:val="Heading2"/>
      </w:pPr>
      <w:r>
        <w:t>6. IP Use</w:t>
      </w:r>
    </w:p>
    <w:p>
      <w:r>
        <w:t>Partner may use approved Birthright logos and copy provided under</w:t>
      </w:r>
    </w:p>
    <w:p>
      <w:hyperlink r:id="rId10">
        <w:r>
          <w:rPr>
            <w:color w:val="0563C1"/>
            <w:u w:val="single"/>
          </w:rPr>
          <w:t xml:space="preserve">/dashboard/partner/assets</w:t>
        </w:r>
      </w:hyperlink>
      <w:r>
        <w:t>. Trademark use is limited to identifying</w:t>
      </w:r>
    </w:p>
    <w:p>
      <w:r>
        <w:t>Birthright and the referral relationship.</w:t>
      </w:r>
    </w:p>
    <w:p>
      <w:pPr>
        <w:pStyle w:val="Heading2"/>
      </w:pPr>
      <w:r>
        <w:t>7. Term &amp; Termination</w:t>
      </w:r>
    </w:p>
    <w:p>
      <w:r>
        <w:t>Either party may terminate on 15 days' notice. Termination does not</w:t>
      </w:r>
    </w:p>
    <w:p>
      <w:r>
        <w:t>extinguish already-accrued commissions.</w:t>
      </w:r>
    </w:p>
    <w:p>
      <w:pPr>
        <w:pStyle w:val="Heading2"/>
      </w:pPr>
      <w:r>
        <w:t>8. Independent Contractor</w:t>
      </w:r>
    </w:p>
    <w:p>
      <w:r>
        <w:t>Partner is an independent contractor with no authority to bind</w:t>
      </w:r>
    </w:p>
    <w:p>
      <w:r>
        <w:t>Birthright.</w:t>
      </w:r>
    </w:p>
    <w:p>
      <w:pPr>
        <w:pStyle w:val="Heading2"/>
      </w:pPr>
      <w:r>
        <w:t>9. Confidentiality</w:t>
      </w:r>
    </w:p>
    <w:p>
      <w:r>
        <w:t>Partner will treat non-public referral data (attribution reports, payout</w:t>
      </w:r>
    </w:p>
    <w:p>
      <w:r>
        <w:t>detail) as confidential.</w:t>
      </w:r>
    </w:p>
    <w:p>
      <w:pPr>
        <w:pStyle w:val="Heading2"/>
      </w:pPr>
      <w:r>
        <w:t>10. Miscellaneous</w:t>
      </w:r>
    </w:p>
    <w:p>
      <w:r>
        <w:t>Governing law per Terms of Service; entire agreement.</w:t>
      </w:r>
    </w:p>
    <w:p>
      <w:r>
        <w:rPr>
          <w:b/>
        </w:rPr>
        <w:t>Partner</w:t>
      </w:r>
      <w:r>
        <w:t xml:space="preserve">: __________________________  </w:t>
      </w:r>
      <w:r>
        <w:rPr>
          <w:b/>
        </w:rPr>
        <w:t>Effective date</w:t>
      </w:r>
      <w:r>
        <w:t>: __________</w:t>
      </w:r>
    </w:p>
    <w:p/>
    <w:p>
      <w:r>
        <w:t>_This document is an AI-generated first draft prepared for outside counsel</w:t>
      </w:r>
    </w:p>
    <w:p>
      <w:r>
        <w:t>review. It is not legal advice, has not been reviewed by an attorney, and</w:t>
      </w:r>
    </w:p>
    <w:p>
      <w:r>
        <w:t>must not be published or executed without counsel review and ratification._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</w:t>
      </w:r>
    </w:p>
    <w:p>
      <w:r>
        <w:t>this document conflicts with mandatory rights of an EU or UK resident, the</w:t>
      </w:r>
    </w:p>
    <w:p>
      <w:r>
        <w:t>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</w:t>
      </w:r>
    </w:p>
    <w:p>
      <w:r>
        <w:t>of individuals in the EEA and UK. Where Birthright is the controller,</w:t>
      </w:r>
    </w:p>
    <w:p>
      <w:r>
        <w:t>the lawful bases relied on are: (i) contract necessity, (ii) legitimate</w:t>
      </w:r>
    </w:p>
    <w:p>
      <w:r>
        <w:t>interests (balanced by opt-out), (iii) consent (marketing and non-</w:t>
      </w:r>
    </w:p>
    <w:p>
      <w:r>
        <w:t>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</w:t>
      </w:r>
    </w:p>
    <w:p>
      <w:r>
        <w:t>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</w:t>
      </w:r>
    </w:p>
    <w:p>
      <w:r>
        <w:t>a 14-day right of withdrawal on distance sales of goods and most</w:t>
      </w:r>
    </w:p>
    <w:p>
      <w:r>
        <w:t>digital services. Where a workshop or digital product has been fully</w:t>
      </w:r>
    </w:p>
    <w:p>
      <w:r>
        <w:t>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</w:t>
      </w:r>
    </w:p>
    <w:p>
      <w:r>
        <w:t>intermediaries offering services in the EU; Birthright's community</w:t>
      </w:r>
    </w:p>
    <w:p>
      <w:r>
        <w:t>features (posts, DMs, disputes) fall within scope. A single point of</w:t>
      </w:r>
    </w:p>
    <w:p>
      <w:r>
        <w:t>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</w:t>
      </w:r>
    </w:p>
    <w:p>
      <w:r>
        <w:t>of AI systems affecting EU users. Birthright's AI features (Help</w:t>
      </w:r>
    </w:p>
    <w:p>
      <w:r>
        <w:t>Assistant, image generation, image captioning) are labeled as AI-</w:t>
      </w:r>
    </w:p>
    <w:p>
      <w:r>
        <w:t>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</w:t>
      </w:r>
    </w:p>
    <w:p>
      <w:r>
        <w:t>Contractual Clauses (2021/914) and the UK International Data Transfer</w:t>
      </w:r>
    </w:p>
    <w:p>
      <w:r>
        <w:t>Addendum, with a transfer-impact assessment on file for each sub-</w:t>
      </w:r>
    </w:p>
    <w:p>
      <w:r>
        <w:t>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</w:t>
      </w:r>
    </w:p>
    <w:p>
      <w:r>
        <w:t>once threshold criteria under GDPR Art. 37 are met. Contact:</w:t>
      </w:r>
    </w:p>
    <w:p>
      <w:r>
        <w:t>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</w:t>
      </w:r>
    </w:p>
    <w:p>
      <w:r>
        <w:t xml:space="preserve">and objection requests are responded to within </w:t>
      </w:r>
      <w:r>
        <w:rPr>
          <w:b/>
        </w:rPr>
        <w:t>30 days</w:t>
      </w:r>
      <w:r>
        <w:t xml:space="preserve"> (extendable</w:t>
      </w:r>
    </w:p>
    <w:p>
      <w:r>
        <w:t>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</w:t>
      </w:r>
    </w:p>
    <w:p>
      <w:r>
        <w:t>their local supervisory authority; a list is available at</w:t>
      </w:r>
    </w:p>
    <w:p>
      <w:hyperlink r:id="rId11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</w:t>
      </w:r>
    </w:p>
    <w:p>
      <w:hyperlink r:id="rId12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</w:t>
      </w:r>
    </w:p>
    <w:p>
      <w:r>
        <w:t>cross applicable thresholds, VAT registration (One-Stop-Shop or</w:t>
      </w:r>
    </w:p>
    <w:p>
      <w:r>
        <w:t>country-by-country) will be completed.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irthright.live/r/" TargetMode="External"/><Relationship Id="rId10" Type="http://schemas.openxmlformats.org/officeDocument/2006/relationships/hyperlink" Target="https://birthright.live/dashboard/partner/assets" TargetMode="External"/><Relationship Id="rId11" Type="http://schemas.openxmlformats.org/officeDocument/2006/relationships/hyperlink" Target="https://edpb.europa.eu/about-edpb/about-edpb/members_en" TargetMode="External"/><Relationship Id="rId12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