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Ombudsman Charter (Draft)</w:t>
      </w:r>
    </w:p>
    <w:p>
      <w:pPr>
        <w:pStyle w:val="Heading2"/>
      </w:pPr>
      <w:r>
        <w:t>1. Purpose</w:t>
      </w:r>
    </w:p>
    <w:p>
      <w:r>
        <w:t>The Ombudsman is an independent role responsible for receiving,</w:t>
      </w:r>
    </w:p>
    <w:p>
      <w:r>
        <w:t>investigating, and mediating disputes within the Birthright community.</w:t>
      </w:r>
    </w:p>
    <w:p>
      <w:pPr>
        <w:pStyle w:val="Heading2"/>
      </w:pPr>
      <w:r>
        <w:t>2. Appointment</w:t>
      </w:r>
    </w:p>
    <w:p>
      <w:r>
        <w:t>The Board appoints the Ombudsman for a term of [2 years], renewable.</w:t>
      </w:r>
    </w:p>
    <w:p>
      <w:r>
        <w:t>The Ombudsman may be removed only by a supermajority Board vote.</w:t>
      </w:r>
    </w:p>
    <w:p>
      <w:pPr>
        <w:pStyle w:val="Heading2"/>
      </w:pPr>
      <w:r>
        <w:t>3. Independence</w:t>
      </w:r>
    </w:p>
    <w:p>
      <w:r>
        <w:t>The Ombudsman does not report to any operating officer and communicates</w:t>
      </w:r>
    </w:p>
    <w:p>
      <w:r>
        <w:t>findings directly to the Board.</w:t>
      </w:r>
    </w:p>
    <w:p>
      <w:pPr>
        <w:pStyle w:val="Heading2"/>
      </w:pPr>
      <w:r>
        <w:t>4. Scope</w:t>
      </w:r>
    </w:p>
    <w:p>
      <w:r>
        <w:t>Disputes cognizable by the Ombudsman include: participant-vs-facilitator</w:t>
      </w:r>
    </w:p>
    <w:p>
      <w:r>
        <w:t>concerns, buyer-vs-vendor complaints beyond the Refund &amp; Returns Policy,</w:t>
      </w:r>
    </w:p>
    <w:p>
      <w:r>
        <w:t>allegations of Community Standards violations, and grievances against</w:t>
      </w:r>
    </w:p>
    <w:p>
      <w:r>
        <w:t>Birthright officers or volunteers.</w:t>
      </w:r>
    </w:p>
    <w:p>
      <w:r>
        <w:t>Not in scope: emergencies (which are referred to local emergency</w:t>
      </w:r>
    </w:p>
    <w:p>
      <w:r>
        <w:t>services), clinical or legal complaints (which are referred out), and</w:t>
      </w:r>
    </w:p>
    <w:p>
      <w:r>
        <w:t>matters already in litigation or arbitration.</w:t>
      </w:r>
    </w:p>
    <w:p>
      <w:pPr>
        <w:pStyle w:val="Heading2"/>
      </w:pPr>
      <w:r>
        <w:t>5. Process</w:t>
      </w:r>
    </w:p>
    <w:p>
      <w:pPr>
        <w:pStyle w:val="ListNumber"/>
      </w:pPr>
      <w:r>
        <w:t xml:space="preserve">Intake through </w:t>
      </w:r>
      <w:hyperlink r:id="rId9">
        <w:r>
          <w:rPr>
            <w:color w:val="0563C1"/>
            <w:u w:val="single"/>
          </w:rPr>
          <w:t xml:space="preserve">/dashboard/disputes</w:t>
        </w:r>
      </w:hyperlink>
      <w:r>
        <w:t xml:space="preserve"> or by email to ombudsman@birthright.live.</w:t>
      </w:r>
    </w:p>
    <w:p>
      <w:pPr>
        <w:pStyle w:val="ListNumber"/>
      </w:pPr>
      <w:r>
        <w:t>Acknowledgement within 3 business days.</w:t>
      </w:r>
    </w:p>
    <w:p>
      <w:pPr>
        <w:pStyle w:val="ListNumber"/>
      </w:pPr>
      <w:r>
        <w:t>Preliminary review within 15 business days.</w:t>
      </w:r>
    </w:p>
    <w:p>
      <w:pPr>
        <w:pStyle w:val="ListNumber"/>
      </w:pPr>
      <w:r>
        <w:t>Mediation or formal recommendation within 45 business days.</w:t>
      </w:r>
    </w:p>
    <w:p>
      <w:pPr>
        <w:pStyle w:val="ListNumber"/>
      </w:pPr>
      <w:r>
        <w:t>Right of appeal to the full Board within 30 days of recommendation.</w:t>
      </w:r>
    </w:p>
    <w:p>
      <w:pPr>
        <w:pStyle w:val="Heading2"/>
      </w:pPr>
      <w:r>
        <w:t>6. Confidentiality</w:t>
      </w:r>
    </w:p>
    <w:p>
      <w:r>
        <w:t>The Ombudsman will keep all identifying information confidential to the</w:t>
      </w:r>
    </w:p>
    <w:p>
      <w:r>
        <w:t>extent possible while conducting the review.</w:t>
      </w:r>
    </w:p>
    <w:p>
      <w:pPr>
        <w:pStyle w:val="Heading2"/>
      </w:pPr>
      <w:r>
        <w:t>7. Anti-Retaliation</w:t>
      </w:r>
    </w:p>
    <w:p>
      <w:r>
        <w:t>No party will be retaliated against for raising a good-faith concern</w:t>
      </w:r>
    </w:p>
    <w:p>
      <w:r>
        <w:t>through the Ombudsman.</w:t>
      </w:r>
    </w:p>
    <w:p>
      <w:pPr>
        <w:pStyle w:val="Heading2"/>
      </w:pPr>
      <w:r>
        <w:t>8. Records</w:t>
      </w:r>
    </w:p>
    <w:p>
      <w:r>
        <w:t>The Ombudsman maintains a summary record of each matter, retained for</w:t>
      </w:r>
    </w:p>
    <w:p>
      <w:r>
        <w:t>7 years.</w:t>
      </w:r>
    </w:p>
    <w:p>
      <w:pPr>
        <w:pStyle w:val="Heading2"/>
      </w:pPr>
      <w:r>
        <w:t>9. Reporting</w:t>
      </w:r>
    </w:p>
    <w:p>
      <w:r>
        <w:t>The Ombudsman provides an anonymized quarterly report to the Board.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10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1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dashboard/disputes" TargetMode="External"/><Relationship Id="rId10" Type="http://schemas.openxmlformats.org/officeDocument/2006/relationships/hyperlink" Target="https://edpb.europa.eu/about-edpb/about-edpb/members_en" TargetMode="External"/><Relationship Id="rId11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