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Sales-Tax Registration Plan (Draft)</w:t>
      </w:r>
    </w:p>
    <w:p>
      <w:pPr>
        <w:pStyle w:val="Heading2"/>
      </w:pPr>
      <w:r>
        <w:t>1. Objective</w:t>
      </w:r>
    </w:p>
    <w:p>
      <w:r>
        <w:t>Bring Birthright into compliance with state sales-tax collection</w:t>
      </w:r>
    </w:p>
    <w:p>
      <w:r>
        <w:t>obligations arising from remote sales of tangible personal property.</w:t>
      </w:r>
    </w:p>
    <w:p>
      <w:pPr>
        <w:pStyle w:val="Heading2"/>
      </w:pPr>
      <w:r>
        <w:t>2. Nexus Analysis</w:t>
      </w:r>
    </w:p>
    <w:p>
      <w:r>
        <w:t>Post-Wayfair (South Dakota v. Wayfair, 2018) states may impose economic</w:t>
      </w:r>
    </w:p>
    <w:p>
      <w:r>
        <w:t>nexus once a remote seller exceeds a revenue or transaction threshold.</w:t>
      </w:r>
    </w:p>
    <w:p>
      <w:r>
        <w:t>Common thresholds: $100,000 in sales OR 200 transactions in the prior</w:t>
      </w:r>
    </w:p>
    <w:p>
      <w:r>
        <w:t>calendar year.</w:t>
      </w:r>
    </w:p>
    <w:p>
      <w:r>
        <w:rPr>
          <w:b/>
        </w:rPr>
        <w:t>Action items for counsel/accountant</w:t>
      </w:r>
      <w:r>
        <w:t>:</w:t>
      </w:r>
    </w:p>
    <w:p>
      <w:pPr>
        <w:pStyle w:val="ListNumber"/>
      </w:pPr>
      <w:r>
        <w:t>Review the last 12 months of Stripe sales data (available at</w:t>
      </w:r>
    </w:p>
    <w:p>
      <w:hyperlink r:id="rId9">
        <w:r>
          <w:rPr>
            <w:color w:val="0563C1"/>
            <w:u w:val="single"/>
          </w:rPr>
          <w:t xml:space="preserve">/admin/reports</w:t>
        </w:r>
      </w:hyperlink>
      <w:r>
        <w:t>) grouped by ship-to state.</w:t>
      </w:r>
    </w:p>
    <w:p>
      <w:pPr>
        <w:pStyle w:val="ListNumber"/>
      </w:pPr>
      <w:r>
        <w:t>Identify states in which either the revenue or the transaction</w:t>
      </w:r>
    </w:p>
    <w:p>
      <w:r>
        <w:t>threshold has been met.</w:t>
      </w:r>
    </w:p>
    <w:p>
      <w:pPr>
        <w:pStyle w:val="ListNumber"/>
      </w:pPr>
      <w:r>
        <w:t>Register for a sales-tax permit in each such state.</w:t>
      </w:r>
    </w:p>
    <w:p>
      <w:pPr>
        <w:pStyle w:val="ListNumber"/>
      </w:pPr>
      <w:r>
        <w:t>Configure Stripe Tax (or equivalent) to collect and remit going</w:t>
      </w:r>
    </w:p>
    <w:p>
      <w:r>
        <w:t>forward.</w:t>
      </w:r>
    </w:p>
    <w:p>
      <w:pPr>
        <w:pStyle w:val="Heading2"/>
      </w:pPr>
      <w:r>
        <w:t>3. Product Taxability</w:t>
      </w:r>
    </w:p>
    <w:p>
      <w:pPr>
        <w:pStyle w:val="ListBullet"/>
      </w:pPr>
      <w:r>
        <w:t>Apparel, prints, mugs, bags, journals, patches: taxable in most states.</w:t>
      </w:r>
    </w:p>
    <w:p>
      <w:pPr>
        <w:pStyle w:val="ListBullet"/>
      </w:pPr>
      <w:r>
        <w:t>Digital workshops: taxability varies (some states tax digital</w:t>
      </w:r>
    </w:p>
    <w:p>
      <w:r>
        <w:t>educational products, some exempt when accompanied by live instruction).</w:t>
      </w:r>
    </w:p>
    <w:p>
      <w:pPr>
        <w:pStyle w:val="ListBullet"/>
      </w:pPr>
      <w:r>
        <w:t xml:space="preserve">Nonprofit exemption: </w:t>
      </w:r>
      <w:r>
        <w:rPr>
          <w:b/>
        </w:rPr>
        <w:t>not automatic</w:t>
      </w:r>
      <w:r>
        <w:t>. Even if 501(c)(3), most states</w:t>
      </w:r>
    </w:p>
    <w:p>
      <w:r>
        <w:t>require the buyer (not the seller) to hold the exemption to purchase</w:t>
      </w:r>
    </w:p>
    <w:p>
      <w:r>
        <w:t>tax-free.</w:t>
      </w:r>
    </w:p>
    <w:p>
      <w:pPr>
        <w:pStyle w:val="Heading2"/>
      </w:pPr>
      <w:r>
        <w:t>4. Marketplace Facilitator Considerations</w:t>
      </w:r>
    </w:p>
    <w:p>
      <w:r>
        <w:t>For any items fulfilled via Printful or Lulu, confirm whether they act as</w:t>
      </w:r>
    </w:p>
    <w:p>
      <w:r>
        <w:t>"marketplace facilitator" for tax purposes. If yes, we may not need to</w:t>
      </w:r>
    </w:p>
    <w:p>
      <w:r>
        <w:t>register in states where they already remit. Document this in a</w:t>
      </w:r>
    </w:p>
    <w:p>
      <w:r>
        <w:t>compliance memo.</w:t>
      </w:r>
    </w:p>
    <w:p>
      <w:pPr>
        <w:pStyle w:val="Heading2"/>
      </w:pPr>
      <w:r>
        <w:t>5. Filing Cadence</w:t>
      </w:r>
    </w:p>
    <w:p>
      <w:r>
        <w:t>Monthly, quarterly, or annually depending on state and volume.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10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1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admin/reports" TargetMode="External"/><Relationship Id="rId10" Type="http://schemas.openxmlformats.org/officeDocument/2006/relationships/hyperlink" Target="https://edpb.europa.eu/about-edpb/about-edpb/members_en" TargetMode="External"/><Relationship Id="rId11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