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⚠️ **AI-GENERATED FIRST DRAFT — NOT LEGAL ADVICE**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was generated by an AI assistant as a starting point for</w:t>
      </w:r>
    </w:p>
    <w:p>
      <w:pPr>
        <w:ind w:left="288"/>
      </w:pPr>
      <w:r>
        <w:rPr>
          <w:i/>
          <w:color w:val="7C5316"/>
        </w:rPr>
        <w:t>outside counsel. It is not legal advice, has not been reviewed by an</w:t>
      </w:r>
    </w:p>
    <w:p>
      <w:pPr>
        <w:ind w:left="288"/>
      </w:pPr>
      <w:r>
        <w:rPr>
          <w:i/>
          <w:color w:val="7C5316"/>
        </w:rPr>
        <w:t>attorney, and MUST NOT be published, executed, or relied upon in its</w:t>
      </w:r>
    </w:p>
    <w:p>
      <w:pPr>
        <w:ind w:left="288"/>
      </w:pPr>
      <w:r>
        <w:rPr>
          <w:i/>
          <w:color w:val="7C5316"/>
        </w:rPr>
        <w:t>current form. Counsel must review, revise, adapt to the entity form and</w:t>
      </w:r>
    </w:p>
    <w:p>
      <w:pPr>
        <w:ind w:left="288"/>
      </w:pPr>
      <w:r>
        <w:rPr>
          <w:i/>
          <w:color w:val="7C5316"/>
        </w:rPr>
        <w:t>state of incorporation, and ratify before any use.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Generated for: Birthright Foundation</w:t>
      </w:r>
    </w:p>
    <w:p>
      <w:pPr>
        <w:ind w:left="288"/>
      </w:pPr>
      <w:r>
        <w:rPr>
          <w:i/>
          <w:color w:val="7C5316"/>
        </w:rPr>
        <w:t>(birthright.live) · Executive Director: James Reagan</w:t>
      </w:r>
    </w:p>
    <w:p>
      <w:pPr>
        <w:pStyle w:val="Heading1"/>
      </w:pPr>
      <w:r>
        <w:t>Trademark Filings Plan (Draft)</w:t>
      </w:r>
    </w:p>
    <w:p>
      <w:pPr>
        <w:pStyle w:val="Heading2"/>
      </w:pPr>
      <w:r>
        <w:t>1. Marks to Protect</w:t>
      </w:r>
    </w:p>
    <w:p>
      <w:pPr>
        <w:pStyle w:val="ListNumber"/>
      </w:pPr>
      <w:r>
        <w:t xml:space="preserve">Wordmark: </w:t>
      </w:r>
      <w:r>
        <w:rPr>
          <w:b/>
        </w:rPr>
        <w:t>BIRTHRIGHT</w:t>
      </w:r>
      <w:r>
        <w:t xml:space="preserve"> (standard characters)</w:t>
      </w:r>
    </w:p>
    <w:p>
      <w:pPr>
        <w:pStyle w:val="ListNumber"/>
      </w:pPr>
      <w:r>
        <w:t xml:space="preserve">Composite: </w:t>
      </w:r>
      <w:r>
        <w:rPr>
          <w:b/>
        </w:rPr>
        <w:t>birthright</w:t>
      </w:r>
      <w:r>
        <w:t xml:space="preserve"> wordmark + ember-gold flame logo</w:t>
      </w:r>
    </w:p>
    <w:p>
      <w:pPr>
        <w:pStyle w:val="ListNumber"/>
      </w:pPr>
      <w:r>
        <w:t xml:space="preserve">Slogan (optional): </w:t>
      </w:r>
      <w:r>
        <w:rPr>
          <w:b/>
        </w:rPr>
        <w:t>"You are the founder of your own love story"</w:t>
      </w:r>
    </w:p>
    <w:p>
      <w:pPr>
        <w:pStyle w:val="ListNumber"/>
      </w:pPr>
      <w:r>
        <w:t xml:space="preserve">Slogan (optional): </w:t>
      </w:r>
      <w:r>
        <w:rPr>
          <w:b/>
        </w:rPr>
        <w:t>"Secure connection is your birthright"</w:t>
      </w:r>
    </w:p>
    <w:p>
      <w:pPr>
        <w:pStyle w:val="Heading2"/>
      </w:pPr>
      <w:r>
        <w:t>2. Classes (International Classes of Goods/Services)</w:t>
      </w:r>
    </w:p>
    <w:p>
      <w:pPr>
        <w:pStyle w:val="ListBullet"/>
      </w:pPr>
      <w:r>
        <w:t>Class 9 — downloadable educational materials, software</w:t>
      </w:r>
    </w:p>
    <w:p>
      <w:pPr>
        <w:pStyle w:val="ListBullet"/>
      </w:pPr>
      <w:r>
        <w:t>Class 16 — printed matter (journals, books)</w:t>
      </w:r>
    </w:p>
    <w:p>
      <w:pPr>
        <w:pStyle w:val="ListBullet"/>
      </w:pPr>
      <w:r>
        <w:t>Class 25 — clothing (apparel merchandise)</w:t>
      </w:r>
    </w:p>
    <w:p>
      <w:pPr>
        <w:pStyle w:val="ListBullet"/>
      </w:pPr>
      <w:r>
        <w:t>Class 35 — online retail store services</w:t>
      </w:r>
    </w:p>
    <w:p>
      <w:pPr>
        <w:pStyle w:val="ListBullet"/>
      </w:pPr>
      <w:r>
        <w:t>Class 41 — educational services (workshops)</w:t>
      </w:r>
    </w:p>
    <w:p>
      <w:pPr>
        <w:pStyle w:val="ListBullet"/>
      </w:pPr>
      <w:r>
        <w:t>Class 45 — online social-networking services</w:t>
      </w:r>
    </w:p>
    <w:p>
      <w:pPr>
        <w:pStyle w:val="Heading2"/>
      </w:pPr>
      <w:r>
        <w:t>3. Search</w:t>
      </w:r>
    </w:p>
    <w:p>
      <w:r>
        <w:t>Before filing, run a comprehensive knock-out search on USPTO TESS plus</w:t>
      </w:r>
    </w:p>
    <w:p>
      <w:r>
        <w:t>common-law usage. Consider international searches (WIPO Madrid) if</w:t>
      </w:r>
    </w:p>
    <w:p>
      <w:r>
        <w:t>international expansion is anticipated.</w:t>
      </w:r>
    </w:p>
    <w:p>
      <w:pPr>
        <w:pStyle w:val="Heading2"/>
      </w:pPr>
      <w:r>
        <w:t>4. Filing Strategy</w:t>
      </w:r>
    </w:p>
    <w:p>
      <w:pPr>
        <w:pStyle w:val="ListBullet"/>
      </w:pPr>
      <w:r>
        <w:t>File 1(a) if in use in commerce (most likely for BIRTHRIGHT and the</w:t>
      </w:r>
    </w:p>
    <w:p>
      <w:r>
        <w:t>composite logo — both are on the live site).</w:t>
      </w:r>
    </w:p>
    <w:p>
      <w:pPr>
        <w:pStyle w:val="ListBullet"/>
      </w:pPr>
      <w:r>
        <w:t>File 1(b) intent-to-use for slogans if not yet in commercial use as</w:t>
      </w:r>
    </w:p>
    <w:p>
      <w:r>
        <w:t>slogans (as opposed to prose in copy).</w:t>
      </w:r>
    </w:p>
    <w:p>
      <w:pPr>
        <w:pStyle w:val="Heading2"/>
      </w:pPr>
      <w:r>
        <w:t>5. Domain &amp; Social</w:t>
      </w:r>
    </w:p>
    <w:p>
      <w:pPr>
        <w:pStyle w:val="ListBullet"/>
      </w:pPr>
      <w:r>
        <w:t>birthright.live secured.</w:t>
      </w:r>
    </w:p>
    <w:p>
      <w:pPr>
        <w:pStyle w:val="ListBullet"/>
      </w:pPr>
      <w:r>
        <w:t>Consider defensive registrations of adjacent TLDs (.org, .foundation)</w:t>
      </w:r>
    </w:p>
    <w:p>
      <w:r>
        <w:t>and social handles.</w:t>
      </w:r>
    </w:p>
    <w:p>
      <w:pPr>
        <w:pStyle w:val="Heading2"/>
      </w:pPr>
      <w:r>
        <w:t>6. Enforcement</w:t>
      </w:r>
    </w:p>
    <w:p>
      <w:r>
        <w:t>Register domain-alert and USPTO watches. Draft a takedown SOP for</w:t>
      </w:r>
    </w:p>
    <w:p>
      <w:r>
        <w:t>infringing use on Etsy, Amazon, Instagram, etc.</w:t>
      </w:r>
    </w:p>
    <w:p/>
    <w:p>
      <w:r>
        <w:t>_This document is an AI-generated first draft prepared for outside counsel</w:t>
      </w:r>
    </w:p>
    <w:p>
      <w:r>
        <w:t>review. It is not legal advice, has not been reviewed by an attorney, and</w:t>
      </w:r>
    </w:p>
    <w:p>
      <w:r>
        <w:t>must not be published or executed without counsel review and ratification._</w:t>
      </w:r>
    </w:p>
    <w:p/>
    <w:p>
      <w:pPr>
        <w:pStyle w:val="Heading2"/>
      </w:pPr>
      <w:r>
        <w:t>EU / UK Compliance Addendum</w:t>
      </w:r>
    </w:p>
    <w:p>
      <w:r>
        <w:t>This document was drafted with EU / UK regulatory alignment in mind. Where</w:t>
      </w:r>
    </w:p>
    <w:p>
      <w:r>
        <w:t>this document conflicts with mandatory rights of an EU or UK resident, the</w:t>
      </w:r>
    </w:p>
    <w:p>
      <w:r>
        <w:t>mandatory local rules prevail. In particular:</w:t>
      </w:r>
    </w:p>
    <w:p>
      <w:pPr>
        <w:pStyle w:val="ListBullet"/>
      </w:pPr>
      <w:r>
        <w:rPr>
          <w:b/>
        </w:rPr>
        <w:t>GDPR (EU) 2016/679 and UK GDPR</w:t>
      </w:r>
      <w:r>
        <w:t xml:space="preserve"> apply to processing of personal data</w:t>
      </w:r>
    </w:p>
    <w:p>
      <w:r>
        <w:t>of individuals in the EEA and UK. Where Birthright is the controller,</w:t>
      </w:r>
    </w:p>
    <w:p>
      <w:r>
        <w:t>the lawful bases relied on are: (i) contract necessity, (ii) legitimate</w:t>
      </w:r>
    </w:p>
    <w:p>
      <w:r>
        <w:t>interests (balanced by opt-out), (iii) consent (marketing and non-</w:t>
      </w:r>
    </w:p>
    <w:p>
      <w:r>
        <w:t>essential cookies), and (iv) legal obligation.</w:t>
      </w:r>
    </w:p>
    <w:p>
      <w:pPr>
        <w:pStyle w:val="ListBullet"/>
      </w:pPr>
      <w:r>
        <w:rPr>
          <w:b/>
        </w:rPr>
        <w:t>ePrivacy Directive (2002/58/EC as amended)</w:t>
      </w:r>
      <w:r>
        <w:t xml:space="preserve"> applies to cookies and</w:t>
      </w:r>
    </w:p>
    <w:p>
      <w:r>
        <w:t>similar tracking. Non-essential cookies require prior opt-in consent.</w:t>
      </w:r>
    </w:p>
    <w:p>
      <w:pPr>
        <w:pStyle w:val="ListBullet"/>
      </w:pPr>
      <w:r>
        <w:rPr>
          <w:b/>
        </w:rPr>
        <w:t>EU Consumer Rights Directive (2011/83/EU)</w:t>
      </w:r>
      <w:r>
        <w:t xml:space="preserve"> — EU/UK consumers have</w:t>
      </w:r>
    </w:p>
    <w:p>
      <w:r>
        <w:t>a 14-day right of withdrawal on distance sales of goods and most</w:t>
      </w:r>
    </w:p>
    <w:p>
      <w:r>
        <w:t>digital services. Where a workshop or digital product has been fully</w:t>
      </w:r>
    </w:p>
    <w:p>
      <w:r>
        <w:t>performed with the consumer's prior consent, the right may be lost.</w:t>
      </w:r>
    </w:p>
    <w:p>
      <w:pPr>
        <w:pStyle w:val="ListBullet"/>
      </w:pPr>
      <w:r>
        <w:rPr>
          <w:b/>
        </w:rPr>
        <w:t>Digital Services Act (Regulation 2022/2065)</w:t>
      </w:r>
      <w:r>
        <w:t xml:space="preserve"> applies to online</w:t>
      </w:r>
    </w:p>
    <w:p>
      <w:r>
        <w:t>intermediaries offering services in the EU; Birthright's community</w:t>
      </w:r>
    </w:p>
    <w:p>
      <w:r>
        <w:t>features (posts, DMs, disputes) fall within scope. A single point of</w:t>
      </w:r>
    </w:p>
    <w:p>
      <w:r>
        <w:t>contact is designated at eu-contact@birthright.live.</w:t>
      </w:r>
    </w:p>
    <w:p>
      <w:pPr>
        <w:pStyle w:val="ListBullet"/>
      </w:pPr>
      <w:r>
        <w:rPr>
          <w:b/>
        </w:rPr>
        <w:t>EU AI Act (Regulation 2024/1689)</w:t>
      </w:r>
      <w:r>
        <w:t xml:space="preserve"> applies to providers and deployers</w:t>
      </w:r>
    </w:p>
    <w:p>
      <w:r>
        <w:t>of AI systems affecting EU users. Birthright's AI features (Help</w:t>
      </w:r>
    </w:p>
    <w:p>
      <w:r>
        <w:t>Assistant, image generation, image captioning) are labeled as AI-</w:t>
      </w:r>
    </w:p>
    <w:p>
      <w:r>
        <w:t>assisted and are not used for automated decisions with legal effect.</w:t>
      </w:r>
    </w:p>
    <w:p>
      <w:pPr>
        <w:pStyle w:val="ListBullet"/>
      </w:pPr>
      <w:r>
        <w:rPr>
          <w:b/>
        </w:rPr>
        <w:t>Data transfers out of the EEA/UK/CH</w:t>
      </w:r>
      <w:r>
        <w:t xml:space="preserve"> rely on the EU Standard</w:t>
      </w:r>
    </w:p>
    <w:p>
      <w:r>
        <w:t>Contractual Clauses (2021/914) and the UK International Data Transfer</w:t>
      </w:r>
    </w:p>
    <w:p>
      <w:r>
        <w:t>Addendum, with a transfer-impact assessment on file for each sub-</w:t>
      </w:r>
    </w:p>
    <w:p>
      <w:r>
        <w:t>processor.</w:t>
      </w:r>
    </w:p>
    <w:p>
      <w:pPr>
        <w:pStyle w:val="ListBullet"/>
      </w:pPr>
      <w:r>
        <w:rPr>
          <w:b/>
        </w:rPr>
        <w:t>Data Protection Officer (DPO)</w:t>
      </w:r>
      <w:r>
        <w:t xml:space="preserve"> — Birthright will designate a DPO</w:t>
      </w:r>
    </w:p>
    <w:p>
      <w:r>
        <w:t>once threshold criteria under GDPR Art. 37 are met. Contact:</w:t>
      </w:r>
    </w:p>
    <w:p>
      <w:r>
        <w:t>dpo@birthright.live.</w:t>
      </w:r>
    </w:p>
    <w:p>
      <w:pPr>
        <w:pStyle w:val="ListBullet"/>
      </w:pPr>
      <w:r>
        <w:rPr>
          <w:b/>
        </w:rPr>
        <w:t>DSAR window</w:t>
      </w:r>
      <w:r>
        <w:t xml:space="preserve"> — subject access, rectification, erasure, portability,</w:t>
      </w:r>
    </w:p>
    <w:p>
      <w:r>
        <w:t xml:space="preserve">and objection requests are responded to within </w:t>
      </w:r>
      <w:r>
        <w:rPr>
          <w:b/>
        </w:rPr>
        <w:t>30 days</w:t>
      </w:r>
      <w:r>
        <w:t xml:space="preserve"> (extendable</w:t>
      </w:r>
    </w:p>
    <w:p>
      <w:r>
        <w:t>by 60 days for complex requests) at 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EU/UK residents may lodge a complaint with</w:t>
      </w:r>
    </w:p>
    <w:p>
      <w:r>
        <w:t>their local supervisory authority; a list is available at</w:t>
      </w:r>
    </w:p>
    <w:p>
      <w:hyperlink r:id="rId9">
        <w:r>
          <w:rPr>
            <w:color w:val="0563C1"/>
            <w:u w:val="single"/>
          </w:rPr>
          <w:t xml:space="preserve">https://edpb.europa.eu/about-edpb/about-edpb/members_en</w:t>
        </w:r>
      </w:hyperlink>
      <w:r>
        <w:t xml:space="preserve"> (EU) and</w:t>
      </w:r>
    </w:p>
    <w:p>
      <w:hyperlink r:id="rId10">
        <w:r>
          <w:rPr>
            <w:color w:val="0563C1"/>
            <w:u w:val="single"/>
          </w:rPr>
          <w:t xml:space="preserve">https://ico.org.uk</w:t>
        </w:r>
      </w:hyperlink>
      <w:r>
        <w:t xml:space="preserve"> (UK).</w:t>
      </w:r>
    </w:p>
    <w:p>
      <w:pPr>
        <w:pStyle w:val="ListBullet"/>
      </w:pPr>
      <w:r>
        <w:rPr>
          <w:b/>
        </w:rPr>
        <w:t>VAT</w:t>
      </w:r>
      <w:r>
        <w:t xml:space="preserve"> — Where Birthright's EU B2C digital-service or goods sales</w:t>
      </w:r>
    </w:p>
    <w:p>
      <w:r>
        <w:t>cross applicable thresholds, VAT registration (One-Stop-Shop or</w:t>
      </w:r>
    </w:p>
    <w:p>
      <w:r>
        <w:t>country-by-country) will be completed.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/about-edpb/about-edpb/members_en" TargetMode="External"/><Relationship Id="rId10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