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Data Processing Agreement (Template) (Draft)</w:t>
      </w:r>
    </w:p>
    <w:p>
      <w:r>
        <w:t>This template is executed with each sub-processor that handles personal</w:t>
      </w:r>
    </w:p>
    <w:p>
      <w:r>
        <w:t>information on Birthright's behalf.</w:t>
      </w:r>
    </w:p>
    <w:p>
      <w:pPr>
        <w:pStyle w:val="Heading2"/>
      </w:pPr>
      <w:r>
        <w:t>1. Parties</w:t>
      </w:r>
    </w:p>
    <w:p>
      <w:r>
        <w:t>Between Birthright Foundation ("Controller") and [SUB-PROCESSOR]</w:t>
      </w:r>
    </w:p>
    <w:p>
      <w:r>
        <w:t>("Processor").</w:t>
      </w:r>
    </w:p>
    <w:p>
      <w:pPr>
        <w:pStyle w:val="Heading2"/>
      </w:pPr>
      <w:r>
        <w:t>2. Scope of Processing</w:t>
      </w:r>
    </w:p>
    <w:p>
      <w:r>
        <w:t>Processor will process personal information only for the purpose of</w:t>
      </w:r>
    </w:p>
    <w:p>
      <w:r>
        <w:t>providing the service described in the underlying service agreement.</w:t>
      </w:r>
    </w:p>
    <w:p>
      <w:pPr>
        <w:pStyle w:val="Heading2"/>
      </w:pPr>
      <w:r>
        <w:t>3. Categories of Data</w:t>
      </w:r>
    </w:p>
    <w:p>
      <w:r>
        <w:t>Refer to Exhibit A. Typically: buyer/member name, email, phone, address,</w:t>
      </w:r>
    </w:p>
    <w:p>
      <w:r>
        <w:t>order metadata; may include uploaded files.</w:t>
      </w:r>
    </w:p>
    <w:p>
      <w:pPr>
        <w:pStyle w:val="Heading2"/>
      </w:pPr>
      <w:r>
        <w:t>4. Data Subject Rights</w:t>
      </w:r>
    </w:p>
    <w:p>
      <w:r>
        <w:t>Processor will assist Controller in responding to data-subject requests</w:t>
      </w:r>
    </w:p>
    <w:p>
      <w:r>
        <w:t>under GDPR, CCPA, and analogous laws within reasonable timeframes.</w:t>
      </w:r>
    </w:p>
    <w:p>
      <w:pPr>
        <w:pStyle w:val="Heading2"/>
      </w:pPr>
      <w:r>
        <w:t>5. Security</w:t>
      </w:r>
    </w:p>
    <w:p>
      <w:r>
        <w:t>Processor will maintain reasonable and appropriate technical and</w:t>
      </w:r>
    </w:p>
    <w:p>
      <w:r>
        <w:t>organizational safeguards, including encryption in transit, access</w:t>
      </w:r>
    </w:p>
    <w:p>
      <w:r>
        <w:t>controls, and audit logging.</w:t>
      </w:r>
    </w:p>
    <w:p>
      <w:pPr>
        <w:pStyle w:val="Heading2"/>
      </w:pPr>
      <w:r>
        <w:t>6. Sub-Processors</w:t>
      </w:r>
    </w:p>
    <w:p>
      <w:r>
        <w:t>Processor will not engage further sub-processors without prior notice to</w:t>
      </w:r>
    </w:p>
    <w:p>
      <w:r>
        <w:t>Controller and provides a mechanism for Controller to object.</w:t>
      </w:r>
    </w:p>
    <w:p>
      <w:pPr>
        <w:pStyle w:val="Heading2"/>
      </w:pPr>
      <w:r>
        <w:t>7. Cross-Border Transfers</w:t>
      </w:r>
    </w:p>
    <w:p>
      <w:r>
        <w:t>Where personal information is transferred out of the EEA, UK, or</w:t>
      </w:r>
    </w:p>
    <w:p>
      <w:r>
        <w:t>Switzerland, the parties incorporate the Standard Contractual Clauses</w:t>
      </w:r>
    </w:p>
    <w:p>
      <w:r>
        <w:t>(2021) as Exhibit B.</w:t>
      </w:r>
    </w:p>
    <w:p>
      <w:pPr>
        <w:pStyle w:val="Heading2"/>
      </w:pPr>
      <w:r>
        <w:t>8. Breach Notification</w:t>
      </w:r>
    </w:p>
    <w:p>
      <w:r>
        <w:t>Processor will notify Controller of any confirmed personal-data breach</w:t>
      </w:r>
    </w:p>
    <w:p>
      <w:r>
        <w:t>within 72 hours.</w:t>
      </w:r>
    </w:p>
    <w:p>
      <w:pPr>
        <w:pStyle w:val="Heading2"/>
      </w:pPr>
      <w:r>
        <w:t>9. Deletion &amp; Return</w:t>
      </w:r>
    </w:p>
    <w:p>
      <w:r>
        <w:t>On termination, Processor will delete or return all personal information</w:t>
      </w:r>
    </w:p>
    <w:p>
      <w:r>
        <w:t>within 30 days, except where retention is required by law.</w:t>
      </w:r>
    </w:p>
    <w:p>
      <w:pPr>
        <w:pStyle w:val="Heading2"/>
      </w:pPr>
      <w:r>
        <w:t>10. Audit</w:t>
      </w:r>
    </w:p>
    <w:p>
      <w:r>
        <w:t>Controller may audit Processor's compliance no more than once per year</w:t>
      </w:r>
    </w:p>
    <w:p>
      <w:r>
        <w:t>on reasonable prior notice, or as required by law.</w:t>
      </w:r>
    </w:p>
    <w:p>
      <w:pPr>
        <w:pStyle w:val="Heading2"/>
      </w:pPr>
      <w:r>
        <w:t>11. Governing Law</w:t>
      </w:r>
    </w:p>
    <w:p>
      <w:r>
        <w:t>Same as underlying service agreement.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