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Nonprofit Governance Bundle (Draft)</w:t>
      </w:r>
    </w:p>
    <w:p>
      <w:r>
        <w:t>Five documents required for or supporting a Form 1023 filing.</w:t>
      </w:r>
    </w:p>
    <w:p/>
    <w:p>
      <w:pPr>
        <w:pStyle w:val="Heading2"/>
      </w:pPr>
      <w:r>
        <w:t>20.1 Articles of Incorporation (Draft skeleton)</w:t>
      </w:r>
    </w:p>
    <w:p>
      <w:r>
        <w:rPr>
          <w:b/>
        </w:rPr>
        <w:t>Article I — Name</w:t>
      </w:r>
      <w:r>
        <w:t>: Birthright Foundation.</w:t>
      </w:r>
    </w:p>
    <w:p>
      <w:r>
        <w:rPr>
          <w:b/>
        </w:rPr>
        <w:t>Article II — Purpose</w:t>
      </w:r>
      <w:r>
        <w:t>: The Corporation is organized exclusively for</w:t>
      </w:r>
    </w:p>
    <w:p>
      <w:r>
        <w:t>charitable and educational purposes within the meaning of Section</w:t>
      </w:r>
    </w:p>
    <w:p>
      <w:r>
        <w:t>501(c)(3) of the Internal Revenue Code. Its specific purpose is to</w:t>
      </w:r>
    </w:p>
    <w:p>
      <w:r>
        <w:t>educate, equip, and support individuals and communities in developing</w:t>
      </w:r>
    </w:p>
    <w:p>
      <w:r>
        <w:t>secure attachment and healthy relational bonds through workshops,</w:t>
      </w:r>
    </w:p>
    <w:p>
      <w:r>
        <w:t>publications, community programs, and related activities.</w:t>
      </w:r>
    </w:p>
    <w:p>
      <w:r>
        <w:rPr>
          <w:b/>
        </w:rPr>
        <w:t>Article III — Nonprofit Status</w:t>
      </w:r>
      <w:r>
        <w:t>: The Corporation is a nonprofit</w:t>
      </w:r>
    </w:p>
    <w:p>
      <w:r>
        <w:t>corporation. No part of the net earnings shall inure to the benefit of</w:t>
      </w:r>
    </w:p>
    <w:p>
      <w:r>
        <w:t>any private individual.</w:t>
      </w:r>
    </w:p>
    <w:p>
      <w:r>
        <w:rPr>
          <w:b/>
        </w:rPr>
        <w:t>Article IV — Political &amp; Legislative Activities</w:t>
      </w:r>
      <w:r>
        <w:t>: No substantial part</w:t>
      </w:r>
    </w:p>
    <w:p>
      <w:r>
        <w:t>of the Corporation's activities shall be carrying on propaganda or</w:t>
      </w:r>
    </w:p>
    <w:p>
      <w:r>
        <w:t>attempting to influence legislation. The Corporation shall not</w:t>
      </w:r>
    </w:p>
    <w:p>
      <w:r>
        <w:t>participate in any political campaign.</w:t>
      </w:r>
    </w:p>
    <w:p>
      <w:r>
        <w:rPr>
          <w:b/>
        </w:rPr>
        <w:t>Article V — Dissolution</w:t>
      </w:r>
      <w:r>
        <w:t>: Upon dissolution, assets shall be</w:t>
      </w:r>
    </w:p>
    <w:p>
      <w:r>
        <w:t>distributed for one or more exempt purposes under Section 501(c)(3) or</w:t>
      </w:r>
    </w:p>
    <w:p>
      <w:r>
        <w:t>to the federal, state, or local government for a public purpose.</w:t>
      </w:r>
    </w:p>
    <w:p>
      <w:r>
        <w:rPr>
          <w:b/>
        </w:rPr>
        <w:t>Article VI — Registered Agent</w:t>
      </w:r>
      <w:r>
        <w:t>: [TO BE COMPLETED BY COUNSEL].</w:t>
      </w:r>
    </w:p>
    <w:p>
      <w:r>
        <w:rPr>
          <w:b/>
        </w:rPr>
        <w:t>Article VII — Initial Directors</w:t>
      </w:r>
      <w:r>
        <w:t>: [NAMES / ADDRESSES BY COUNSEL].</w:t>
      </w:r>
    </w:p>
    <w:p/>
    <w:p>
      <w:pPr>
        <w:pStyle w:val="Heading2"/>
      </w:pPr>
      <w:r>
        <w:t>20.2 Bylaws (Draft skeleton)</w:t>
      </w:r>
    </w:p>
    <w:p>
      <w:r>
        <w:rPr>
          <w:b/>
        </w:rPr>
        <w:t>Article I — Offices</w:t>
      </w:r>
      <w:r>
        <w:t>. Principal office: [TBD].</w:t>
      </w:r>
    </w:p>
    <w:p>
      <w:r>
        <w:rPr>
          <w:b/>
        </w:rPr>
        <w:t>Article II — Members</w:t>
      </w:r>
      <w:r>
        <w:t>. The Corporation shall have no members. All</w:t>
      </w:r>
    </w:p>
    <w:p>
      <w:r>
        <w:t>governance authority is vested in the Board of Directors.</w:t>
      </w:r>
    </w:p>
    <w:p>
      <w:r>
        <w:rPr>
          <w:b/>
        </w:rPr>
        <w:t>Article III — Board of Directors</w:t>
      </w:r>
      <w:r>
        <w:t>.</w:t>
      </w:r>
    </w:p>
    <w:p>
      <w:pPr>
        <w:pStyle w:val="ListBullet"/>
      </w:pPr>
      <w:r>
        <w:t>Number: no fewer than 3, no more than 11.</w:t>
      </w:r>
    </w:p>
    <w:p>
      <w:pPr>
        <w:pStyle w:val="ListBullet"/>
      </w:pPr>
      <w:r>
        <w:t>Term: 2 years, staggered.</w:t>
      </w:r>
    </w:p>
    <w:p>
      <w:pPr>
        <w:pStyle w:val="ListBullet"/>
      </w:pPr>
      <w:r>
        <w:t>Election: by majority of the sitting Board.</w:t>
      </w:r>
    </w:p>
    <w:p>
      <w:pPr>
        <w:pStyle w:val="ListBullet"/>
      </w:pPr>
      <w:r>
        <w:t>Meetings: at least quarterly; annual meeting in January.</w:t>
      </w:r>
    </w:p>
    <w:p>
      <w:pPr>
        <w:pStyle w:val="ListBullet"/>
      </w:pPr>
      <w:r>
        <w:t>Quorum: majority of directors then in office.</w:t>
      </w:r>
    </w:p>
    <w:p>
      <w:pPr>
        <w:pStyle w:val="ListBullet"/>
      </w:pPr>
      <w:r>
        <w:t>Voting: majority of those present, unless a supermajority is required</w:t>
      </w:r>
    </w:p>
    <w:p>
      <w:r>
        <w:t>elsewhere in these Bylaws.</w:t>
      </w:r>
    </w:p>
    <w:p>
      <w:r>
        <w:rPr>
          <w:b/>
        </w:rPr>
        <w:t>Article IV — Officers</w:t>
      </w:r>
      <w:r>
        <w:t>. Chair, Vice Chair, Secretary, Treasurer.</w:t>
      </w:r>
    </w:p>
    <w:p>
      <w:r>
        <w:t>Terms of 1 year, elected annually by the Board.</w:t>
      </w:r>
    </w:p>
    <w:p>
      <w:r>
        <w:rPr>
          <w:b/>
        </w:rPr>
        <w:t>Article V — Committees</w:t>
      </w:r>
      <w:r>
        <w:t>. Standing committees: Finance, Governance,</w:t>
      </w:r>
    </w:p>
    <w:p>
      <w:r>
        <w:t>Ombudsman. Ad hoc committees as the Board deems necessary.</w:t>
      </w:r>
    </w:p>
    <w:p>
      <w:r>
        <w:rPr>
          <w:b/>
        </w:rPr>
        <w:t>Article VI — Indemnification</w:t>
      </w:r>
      <w:r>
        <w:t>. See separate Indemnification Policy.</w:t>
      </w:r>
    </w:p>
    <w:p>
      <w:r>
        <w:rPr>
          <w:b/>
        </w:rPr>
        <w:t>Article VII — Amendments</w:t>
      </w:r>
      <w:r>
        <w:t>. Bylaws may be amended by two-thirds vote</w:t>
      </w:r>
    </w:p>
    <w:p>
      <w:r>
        <w:t>of the Board.</w:t>
      </w:r>
    </w:p>
    <w:p/>
    <w:p>
      <w:pPr>
        <w:pStyle w:val="Heading2"/>
      </w:pPr>
      <w:r>
        <w:t>20.3 Conflict-of-Interest Policy (Draft)</w:t>
      </w:r>
    </w:p>
    <w:p>
      <w:r>
        <w:rPr>
          <w:b/>
        </w:rPr>
        <w:t>1. Purpose</w:t>
      </w:r>
      <w:r>
        <w:t>. Protect the Corporation's interest when it enters into a</w:t>
      </w:r>
    </w:p>
    <w:p>
      <w:r>
        <w:t>transaction or arrangement that might benefit the private interest of a</w:t>
      </w:r>
    </w:p>
    <w:p>
      <w:r>
        <w:t>director, officer, or key employee.</w:t>
      </w:r>
    </w:p>
    <w:p>
      <w:r>
        <w:rPr>
          <w:b/>
        </w:rPr>
        <w:t>2. Definition of Interest</w:t>
      </w:r>
      <w:r>
        <w:t>. A Financial Interest exists when a person</w:t>
      </w:r>
    </w:p>
    <w:p>
      <w:r>
        <w:t>has, directly or indirectly through business, investment, or family, an</w:t>
      </w:r>
    </w:p>
    <w:p>
      <w:r>
        <w:t>ownership or investment interest in an entity with which the Corporation</w:t>
      </w:r>
    </w:p>
    <w:p>
      <w:r>
        <w:t>transacts, or a compensation arrangement.</w:t>
      </w:r>
    </w:p>
    <w:p>
      <w:r>
        <w:rPr>
          <w:b/>
        </w:rPr>
        <w:t>3. Duty to Disclose</w:t>
      </w:r>
      <w:r>
        <w:t>. Interested persons must disclose the existence</w:t>
      </w:r>
    </w:p>
    <w:p>
      <w:r>
        <w:t>and nature of the Financial Interest.</w:t>
      </w:r>
    </w:p>
    <w:p>
      <w:r>
        <w:rPr>
          <w:b/>
        </w:rPr>
        <w:t>4. Recusal</w:t>
      </w:r>
      <w:r>
        <w:t>. Interested persons will not vote on the matter and may</w:t>
      </w:r>
    </w:p>
    <w:p>
      <w:r>
        <w:t>be asked to leave the meeting for the deliberation.</w:t>
      </w:r>
    </w:p>
    <w:p>
      <w:r>
        <w:rPr>
          <w:b/>
        </w:rPr>
        <w:t>5. Records</w:t>
      </w:r>
      <w:r>
        <w:t>. Board minutes will record the disclosure, the alternative</w:t>
      </w:r>
    </w:p>
    <w:p>
      <w:r>
        <w:t>transactions considered, and the vote.</w:t>
      </w:r>
    </w:p>
    <w:p>
      <w:r>
        <w:rPr>
          <w:b/>
        </w:rPr>
        <w:t>6. Annual Statements</w:t>
      </w:r>
      <w:r>
        <w:t>. Each director signs an annual conflict-of-</w:t>
      </w:r>
    </w:p>
    <w:p>
      <w:r>
        <w:t>interest disclosure statement.</w:t>
      </w:r>
    </w:p>
    <w:p/>
    <w:p>
      <w:pPr>
        <w:pStyle w:val="Heading2"/>
      </w:pPr>
      <w:r>
        <w:t>20.4 Whistleblower Policy (Draft)</w:t>
      </w:r>
    </w:p>
    <w:p>
      <w:r>
        <w:rPr>
          <w:b/>
        </w:rPr>
        <w:t>1. Purpose</w:t>
      </w:r>
      <w:r>
        <w:t>. Encourage good-faith reports of illegal or unethical</w:t>
      </w:r>
    </w:p>
    <w:p>
      <w:r>
        <w:t>conduct without fear of retaliation.</w:t>
      </w:r>
    </w:p>
    <w:p>
      <w:r>
        <w:rPr>
          <w:b/>
        </w:rPr>
        <w:t>2. Reporting Channels</w:t>
      </w:r>
      <w:r>
        <w:t>. Reports may be submitted to the Ombudsman</w:t>
      </w:r>
    </w:p>
    <w:p>
      <w:r>
        <w:t>(ombudsman@birthright.live), any Board member, or the Chair.</w:t>
      </w:r>
    </w:p>
    <w:p>
      <w:r>
        <w:rPr>
          <w:b/>
        </w:rPr>
        <w:t>3. Anti-Retaliation</w:t>
      </w:r>
      <w:r>
        <w:t>. No employee, contractor, volunteer, or partner</w:t>
      </w:r>
    </w:p>
    <w:p>
      <w:r>
        <w:t>will be terminated, demoted, harassed, or otherwise disadvantaged for</w:t>
      </w:r>
    </w:p>
    <w:p>
      <w:r>
        <w:t>making a good-faith report.</w:t>
      </w:r>
    </w:p>
    <w:p>
      <w:r>
        <w:rPr>
          <w:b/>
        </w:rPr>
        <w:t>4. Confidentiality</w:t>
      </w:r>
      <w:r>
        <w:t>. Reports are kept confidential to the extent</w:t>
      </w:r>
    </w:p>
    <w:p>
      <w:r>
        <w:t>possible.</w:t>
      </w:r>
    </w:p>
    <w:p>
      <w:r>
        <w:rPr>
          <w:b/>
        </w:rPr>
        <w:t>5. Investigation</w:t>
      </w:r>
      <w:r>
        <w:t>. Reports are investigated promptly by the</w:t>
      </w:r>
    </w:p>
    <w:p>
      <w:r>
        <w:t>Ombudsman or a designee.</w:t>
      </w:r>
    </w:p>
    <w:p>
      <w:r>
        <w:rPr>
          <w:b/>
        </w:rPr>
        <w:t>6. False Allegations</w:t>
      </w:r>
      <w:r>
        <w:t>. Knowingly false reports are subject to</w:t>
      </w:r>
    </w:p>
    <w:p>
      <w:r>
        <w:t>disciplinary action.</w:t>
      </w:r>
    </w:p>
    <w:p/>
    <w:p>
      <w:pPr>
        <w:pStyle w:val="Heading2"/>
      </w:pPr>
      <w:r>
        <w:t>20.5 Document Retention Policy (Draft)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Record type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Retention</w:t>
            </w:r>
          </w:p>
        </w:tc>
      </w:tr>
      <w:tr>
        <w:tc>
          <w:tcPr>
            <w:tcW w:type="dxa" w:w="4824"/>
          </w:tcPr>
          <w:p>
            <w:r/>
            <w:r>
              <w:t>Articles, Bylaws, minutes</w:t>
            </w:r>
          </w:p>
        </w:tc>
        <w:tc>
          <w:tcPr>
            <w:tcW w:type="dxa" w:w="4824"/>
          </w:tcPr>
          <w:p>
            <w:r/>
            <w:r>
              <w:t>Permanent</w:t>
            </w:r>
          </w:p>
        </w:tc>
      </w:tr>
      <w:tr>
        <w:tc>
          <w:tcPr>
            <w:tcW w:type="dxa" w:w="4824"/>
          </w:tcPr>
          <w:p>
            <w:r/>
            <w:r>
              <w:t>Tax returns and supporting records</w:t>
            </w:r>
          </w:p>
        </w:tc>
        <w:tc>
          <w:tcPr>
            <w:tcW w:type="dxa" w:w="4824"/>
          </w:tcPr>
          <w:p>
            <w:r/>
            <w:r>
              <w:t>7 years</w:t>
            </w:r>
          </w:p>
        </w:tc>
      </w:tr>
      <w:tr>
        <w:tc>
          <w:tcPr>
            <w:tcW w:type="dxa" w:w="4824"/>
          </w:tcPr>
          <w:p>
            <w:r/>
            <w:r>
              <w:t>Financial statements and audits</w:t>
            </w:r>
          </w:p>
        </w:tc>
        <w:tc>
          <w:tcPr>
            <w:tcW w:type="dxa" w:w="4824"/>
          </w:tcPr>
          <w:p>
            <w:r/>
            <w:r>
              <w:t>Permanent</w:t>
            </w:r>
          </w:p>
        </w:tc>
      </w:tr>
      <w:tr>
        <w:tc>
          <w:tcPr>
            <w:tcW w:type="dxa" w:w="4824"/>
          </w:tcPr>
          <w:p>
            <w:r/>
            <w:r>
              <w:t>Bank statements and reconciliations</w:t>
            </w:r>
          </w:p>
        </w:tc>
        <w:tc>
          <w:tcPr>
            <w:tcW w:type="dxa" w:w="4824"/>
          </w:tcPr>
          <w:p>
            <w:r/>
            <w:r>
              <w:t>7 years</w:t>
            </w:r>
          </w:p>
        </w:tc>
      </w:tr>
      <w:tr>
        <w:tc>
          <w:tcPr>
            <w:tcW w:type="dxa" w:w="4824"/>
          </w:tcPr>
          <w:p>
            <w:r/>
            <w:r>
              <w:t>Contracts and agreements</w:t>
            </w:r>
          </w:p>
        </w:tc>
        <w:tc>
          <w:tcPr>
            <w:tcW w:type="dxa" w:w="4824"/>
          </w:tcPr>
          <w:p>
            <w:r/>
            <w:r>
              <w:t>Term + 7 years</w:t>
            </w:r>
          </w:p>
        </w:tc>
      </w:tr>
      <w:tr>
        <w:tc>
          <w:tcPr>
            <w:tcW w:type="dxa" w:w="4824"/>
          </w:tcPr>
          <w:p>
            <w:r/>
            <w:r>
              <w:t>Personnel and volunteer records</w:t>
            </w:r>
          </w:p>
        </w:tc>
        <w:tc>
          <w:tcPr>
            <w:tcW w:type="dxa" w:w="4824"/>
          </w:tcPr>
          <w:p>
            <w:r/>
            <w:r>
              <w:t>Term + 7 years</w:t>
            </w:r>
          </w:p>
        </w:tc>
      </w:tr>
      <w:tr>
        <w:tc>
          <w:tcPr>
            <w:tcW w:type="dxa" w:w="4824"/>
          </w:tcPr>
          <w:p>
            <w:r/>
            <w:r>
              <w:t>Donor records</w:t>
            </w:r>
          </w:p>
        </w:tc>
        <w:tc>
          <w:tcPr>
            <w:tcW w:type="dxa" w:w="4824"/>
          </w:tcPr>
          <w:p>
            <w:r/>
            <w:r>
              <w:t>7 years (or longer if grant conditions require)</w:t>
            </w:r>
          </w:p>
        </w:tc>
      </w:tr>
      <w:tr>
        <w:tc>
          <w:tcPr>
            <w:tcW w:type="dxa" w:w="4824"/>
          </w:tcPr>
          <w:p>
            <w:r/>
            <w:r>
              <w:t>Community content (posts, DMs, disputes)</w:t>
            </w:r>
          </w:p>
        </w:tc>
        <w:tc>
          <w:tcPr>
            <w:tcW w:type="dxa" w:w="4824"/>
          </w:tcPr>
          <w:p>
            <w:r/>
            <w:r>
              <w:t>Per Privacy Policy §7</w:t>
            </w:r>
          </w:p>
        </w:tc>
      </w:tr>
      <w:tr>
        <w:tc>
          <w:tcPr>
            <w:tcW w:type="dxa" w:w="4824"/>
          </w:tcPr>
          <w:p>
            <w:r/>
            <w:r>
              <w:t>Payment records (Stripe)</w:t>
            </w:r>
          </w:p>
        </w:tc>
        <w:tc>
          <w:tcPr>
            <w:tcW w:type="dxa" w:w="4824"/>
          </w:tcPr>
          <w:p>
            <w:r/>
            <w:r>
              <w:t>7 years</w:t>
            </w:r>
          </w:p>
        </w:tc>
      </w:tr>
      <w:tr>
        <w:tc>
          <w:tcPr>
            <w:tcW w:type="dxa" w:w="4824"/>
          </w:tcPr>
          <w:p>
            <w:r/>
            <w:r>
              <w:t>Insurance policies</w:t>
            </w:r>
          </w:p>
        </w:tc>
        <w:tc>
          <w:tcPr>
            <w:tcW w:type="dxa" w:w="4824"/>
          </w:tcPr>
          <w:p>
            <w:r/>
            <w:r>
              <w:t>Permanent</w:t>
            </w:r>
          </w:p>
        </w:tc>
      </w:tr>
      <w:tr>
        <w:tc>
          <w:tcPr>
            <w:tcW w:type="dxa" w:w="4824"/>
          </w:tcPr>
          <w:p>
            <w:r/>
            <w:r>
              <w:t>Real property records</w:t>
            </w:r>
          </w:p>
        </w:tc>
        <w:tc>
          <w:tcPr>
            <w:tcW w:type="dxa" w:w="4824"/>
          </w:tcPr>
          <w:p>
            <w:r/>
            <w:r>
              <w:t>Permanent</w:t>
            </w:r>
          </w:p>
        </w:tc>
      </w:tr>
    </w:tbl>
    <w:p/>
    <w:p>
      <w:r>
        <w:t>Records may be destroyed at the end of the retention period only after</w:t>
      </w:r>
    </w:p>
    <w:p>
      <w:r>
        <w:t>confirmation there is no pending litigation, audit, or investigation.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