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Counsel Review Plan — Priority One &amp; Priority Two</w:t>
      </w:r>
    </w:p>
    <w:p>
      <w:r>
        <w:t>_Birthright Foundation · February 2026 · birthright.live_</w:t>
      </w:r>
    </w:p>
    <w:p>
      <w:r>
        <w:t>This is a scoping companion to the Legal Briefing. It lists every draft instrument Birthright asks counsel to review, grouped by priority and with a doc-level time estimate for engagement scoping. It is not a prescription of how counsel should spend their time — it is Birthright's attempt to make the ask legible in one page.</w:t>
      </w:r>
    </w:p>
    <w:p>
      <w:r>
        <w:t xml:space="preserve">Draft </w:t>
      </w:r>
      <w:r>
        <w:rPr>
          <w:rFonts w:ascii="Consolas" w:hAnsi="Consolas"/>
          <w:sz w:val="20"/>
        </w:rPr>
        <w:t>.docx</w:t>
      </w:r>
      <w:r>
        <w:t xml:space="preserve"> for every listed instrument is available in the Counsel Console at </w:t>
      </w:r>
      <w:r>
        <w:rPr>
          <w:rFonts w:ascii="Consolas" w:hAnsi="Consolas"/>
          <w:sz w:val="20"/>
        </w:rPr>
        <w:t>https://birthright.live/counsel</w:t>
      </w:r>
      <w:r>
        <w:t>.</w:t>
      </w:r>
    </w:p>
    <w:p/>
    <w:p>
      <w:pPr>
        <w:pStyle w:val="Heading2"/>
      </w:pPr>
      <w:r>
        <w:t>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Bucket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Doc-level time (min)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Hours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</w:rPr>
              <w:t>Priority One</w:t>
            </w:r>
            <w:r>
              <w:t xml:space="preserve"> — public + compliance + IP + governance foundations</w:t>
            </w:r>
          </w:p>
        </w:tc>
        <w:tc>
          <w:tcPr>
            <w:tcW w:type="dxa" w:w="3120"/>
          </w:tcPr>
          <w:p>
            <w:r/>
            <w:r>
              <w:t>1,020</w:t>
            </w:r>
          </w:p>
        </w:tc>
        <w:tc>
          <w:tcPr>
            <w:tcW w:type="dxa" w:w="3120"/>
          </w:tcPr>
          <w:p>
            <w:r/>
            <w:r>
              <w:t>17.0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</w:rPr>
              <w:t>Priority Two</w:t>
            </w:r>
            <w:r>
              <w:t xml:space="preserve"> — partner instruments, charters, and internal plans</w:t>
            </w:r>
          </w:p>
        </w:tc>
        <w:tc>
          <w:tcPr>
            <w:tcW w:type="dxa" w:w="3120"/>
          </w:tcPr>
          <w:p>
            <w:r/>
            <w:r>
              <w:t>480</w:t>
            </w:r>
          </w:p>
        </w:tc>
        <w:tc>
          <w:tcPr>
            <w:tcW w:type="dxa" w:w="3120"/>
          </w:tcPr>
          <w:p>
            <w:r/>
            <w:r>
              <w:t>8.0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</w:rPr>
              <w:t>Grand total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1,500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25.0</w:t>
            </w:r>
          </w:p>
        </w:tc>
      </w:tr>
    </w:tbl>
    <w:p/>
    <w:p>
      <w:r>
        <w:t>Reading assumption: a US generalist with 501(c)(3) experience. Splitting across privacy and IP specialists is at counsel's discretion.</w:t>
      </w:r>
    </w:p>
    <w:p/>
    <w:p>
      <w:pPr>
        <w:pStyle w:val="Heading2"/>
      </w:pPr>
      <w:r>
        <w:t>Priority One — public + compliance + IP + governance foundations</w:t>
      </w:r>
    </w:p>
    <w:p>
      <w:r>
        <w:t>Everything that has to land before the platform can operate cleanly with real counterparties. Public documents, entity/tax posture, IP protection, and the governance instruments the 1023 filing needs are all in this bucket.</w:t>
      </w:r>
    </w:p>
    <w:p>
      <w:pPr>
        <w:pStyle w:val="Heading3"/>
      </w:pPr>
      <w:r>
        <w:t>The seven public-facing documents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Instrument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Draft slug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Est.</w:t>
            </w:r>
          </w:p>
        </w:tc>
      </w:tr>
      <w:tr>
        <w:tc>
          <w:tcPr>
            <w:tcW w:type="dxa" w:w="2340"/>
          </w:tcPr>
          <w:p>
            <w:r/>
            <w:r>
              <w:t>P1-a</w:t>
            </w:r>
          </w:p>
        </w:tc>
        <w:tc>
          <w:tcPr>
            <w:tcW w:type="dxa" w:w="2340"/>
          </w:tcPr>
          <w:p>
            <w:r/>
            <w:r>
              <w:t>Terms of Service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20"/>
              </w:rPr>
              <w:t>01-terms-of-service</w:t>
            </w:r>
          </w:p>
        </w:tc>
        <w:tc>
          <w:tcPr>
            <w:tcW w:type="dxa" w:w="2340"/>
          </w:tcPr>
          <w:p>
            <w:r/>
            <w:r>
              <w:t>75</w:t>
            </w:r>
          </w:p>
        </w:tc>
      </w:tr>
      <w:tr>
        <w:tc>
          <w:tcPr>
            <w:tcW w:type="dxa" w:w="2340"/>
          </w:tcPr>
          <w:p>
            <w:r/>
            <w:r>
              <w:t>P1-b</w:t>
            </w:r>
          </w:p>
        </w:tc>
        <w:tc>
          <w:tcPr>
            <w:tcW w:type="dxa" w:w="2340"/>
          </w:tcPr>
          <w:p>
            <w:r/>
            <w:r>
              <w:t>Privacy Policy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20"/>
              </w:rPr>
              <w:t>02-privacy-policy</w:t>
            </w:r>
          </w:p>
        </w:tc>
        <w:tc>
          <w:tcPr>
            <w:tcW w:type="dxa" w:w="2340"/>
          </w:tcPr>
          <w:p>
            <w:r/>
            <w:r>
              <w:t>85</w:t>
            </w:r>
          </w:p>
        </w:tc>
      </w:tr>
      <w:tr>
        <w:tc>
          <w:tcPr>
            <w:tcW w:type="dxa" w:w="2340"/>
          </w:tcPr>
          <w:p>
            <w:r/>
            <w:r>
              <w:t>P1-c</w:t>
            </w:r>
          </w:p>
        </w:tc>
        <w:tc>
          <w:tcPr>
            <w:tcW w:type="dxa" w:w="2340"/>
          </w:tcPr>
          <w:p>
            <w:r/>
            <w:r>
              <w:t>Cookie &amp; Tracking Notice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20"/>
              </w:rPr>
              <w:t>03-cookie-notice</w:t>
            </w:r>
          </w:p>
        </w:tc>
        <w:tc>
          <w:tcPr>
            <w:tcW w:type="dxa" w:w="2340"/>
          </w:tcPr>
          <w:p>
            <w:r/>
            <w:r>
              <w:t>25</w:t>
            </w:r>
          </w:p>
        </w:tc>
      </w:tr>
      <w:tr>
        <w:tc>
          <w:tcPr>
            <w:tcW w:type="dxa" w:w="2340"/>
          </w:tcPr>
          <w:p>
            <w:r/>
            <w:r>
              <w:t>P1-d</w:t>
            </w:r>
          </w:p>
        </w:tc>
        <w:tc>
          <w:tcPr>
            <w:tcW w:type="dxa" w:w="2340"/>
          </w:tcPr>
          <w:p>
            <w:r/>
            <w:r>
              <w:t>Universal Indemnification &amp; Hold-Harmless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20"/>
              </w:rPr>
              <w:t>04-indemnification-hold-harmless</w:t>
            </w:r>
          </w:p>
        </w:tc>
        <w:tc>
          <w:tcPr>
            <w:tcW w:type="dxa" w:w="2340"/>
          </w:tcPr>
          <w:p>
            <w:r/>
            <w:r>
              <w:t>60</w:t>
            </w:r>
          </w:p>
        </w:tc>
      </w:tr>
      <w:tr>
        <w:tc>
          <w:tcPr>
            <w:tcW w:type="dxa" w:w="2340"/>
          </w:tcPr>
          <w:p>
            <w:r/>
            <w:r>
              <w:t>P1-e</w:t>
            </w:r>
          </w:p>
        </w:tc>
        <w:tc>
          <w:tcPr>
            <w:tcW w:type="dxa" w:w="2340"/>
          </w:tcPr>
          <w:p>
            <w:r/>
            <w:r>
              <w:t>Sliding-Scale &amp; Scholarship Terms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20"/>
              </w:rPr>
              <w:t>10-sliding-scale-scholarship-terms</w:t>
            </w:r>
          </w:p>
        </w:tc>
        <w:tc>
          <w:tcPr>
            <w:tcW w:type="dxa" w:w="2340"/>
          </w:tcPr>
          <w:p>
            <w:r/>
            <w:r>
              <w:t>15</w:t>
            </w:r>
          </w:p>
        </w:tc>
      </w:tr>
      <w:tr>
        <w:tc>
          <w:tcPr>
            <w:tcW w:type="dxa" w:w="2340"/>
          </w:tcPr>
          <w:p>
            <w:r/>
            <w:r>
              <w:t>P1-f</w:t>
            </w:r>
          </w:p>
        </w:tc>
        <w:tc>
          <w:tcPr>
            <w:tcW w:type="dxa" w:w="2340"/>
          </w:tcPr>
          <w:p>
            <w:r/>
            <w:r>
              <w:t>Content Moderation &amp; Community Standards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20"/>
              </w:rPr>
              <w:t>14-community-standards</w:t>
            </w:r>
          </w:p>
        </w:tc>
        <w:tc>
          <w:tcPr>
            <w:tcW w:type="dxa" w:w="2340"/>
          </w:tcPr>
          <w:p>
            <w:r/>
            <w:r>
              <w:t>40</w:t>
            </w:r>
          </w:p>
        </w:tc>
      </w:tr>
      <w:tr>
        <w:tc>
          <w:tcPr>
            <w:tcW w:type="dxa" w:w="2340"/>
          </w:tcPr>
          <w:p>
            <w:r/>
            <w:r>
              <w:t>P1-g</w:t>
            </w:r>
          </w:p>
        </w:tc>
        <w:tc>
          <w:tcPr>
            <w:tcW w:type="dxa" w:w="2340"/>
          </w:tcPr>
          <w:p>
            <w:r/>
            <w:r>
              <w:t>Refund &amp; Returns Policy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20"/>
              </w:rPr>
              <w:t>15-refund-returns-policy</w:t>
            </w:r>
          </w:p>
        </w:tc>
        <w:tc>
          <w:tcPr>
            <w:tcW w:type="dxa" w:w="2340"/>
          </w:tcPr>
          <w:p>
            <w:r/>
            <w:r>
              <w:t>45</w:t>
            </w:r>
          </w:p>
        </w:tc>
      </w:tr>
      <w:tr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  <w:r>
              <w:rPr>
                <w:b/>
              </w:rPr>
              <w:t>Subtotal — public</w:t>
            </w:r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  <w:r>
              <w:rPr>
                <w:b/>
              </w:rPr>
              <w:t>345</w:t>
            </w:r>
          </w:p>
        </w:tc>
      </w:tr>
    </w:tbl>
    <w:p/>
    <w:p>
      <w:pPr>
        <w:pStyle w:val="Heading3"/>
      </w:pPr>
      <w:r>
        <w:t>Compliance, incorporation, IP, and governance (non-document)</w:t>
      </w:r>
    </w:p>
    <w:p>
      <w:r>
        <w:t>These are planning documents and governance instruments — many will be handed to a compliance vendor (Harbor Compliance, Labyrinth, or similar) for filings, but counsel's review of the plan itself is Priority One.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Work item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Draft slug (if any)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Est.</w:t>
            </w:r>
          </w:p>
        </w:tc>
      </w:tr>
      <w:tr>
        <w:tc>
          <w:tcPr>
            <w:tcW w:type="dxa" w:w="2340"/>
          </w:tcPr>
          <w:p>
            <w:r/>
            <w:r>
              <w:t>P1-h</w:t>
            </w:r>
          </w:p>
        </w:tc>
        <w:tc>
          <w:tcPr>
            <w:tcW w:type="dxa" w:w="2340"/>
          </w:tcPr>
          <w:p>
            <w:r/>
            <w:r>
              <w:t>Entity formation + tax status</w:t>
            </w:r>
          </w:p>
        </w:tc>
        <w:tc>
          <w:tcPr>
            <w:tcW w:type="dxa" w:w="2340"/>
          </w:tcPr>
          <w:p>
            <w:r/>
            <w:r>
              <w:t>— (advisory)</w:t>
            </w:r>
          </w:p>
        </w:tc>
        <w:tc>
          <w:tcPr>
            <w:tcW w:type="dxa" w:w="2340"/>
          </w:tcPr>
          <w:p>
            <w:r/>
            <w:r>
              <w:t>90</w:t>
            </w:r>
          </w:p>
        </w:tc>
      </w:tr>
      <w:tr>
        <w:tc>
          <w:tcPr>
            <w:tcW w:type="dxa" w:w="2340"/>
          </w:tcPr>
          <w:p>
            <w:r/>
            <w:r>
              <w:t>P1-i</w:t>
            </w:r>
          </w:p>
        </w:tc>
        <w:tc>
          <w:tcPr>
            <w:tcW w:type="dxa" w:w="2340"/>
          </w:tcPr>
          <w:p>
            <w:r/>
            <w:r>
              <w:t>Sales-Tax Registration Plan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20"/>
              </w:rPr>
              <w:t>16-sales-tax-registration-plan</w:t>
            </w:r>
          </w:p>
        </w:tc>
        <w:tc>
          <w:tcPr>
            <w:tcW w:type="dxa" w:w="2340"/>
          </w:tcPr>
          <w:p>
            <w:r/>
            <w:r>
              <w:t>40</w:t>
            </w:r>
          </w:p>
        </w:tc>
      </w:tr>
      <w:tr>
        <w:tc>
          <w:tcPr>
            <w:tcW w:type="dxa" w:w="2340"/>
          </w:tcPr>
          <w:p>
            <w:r/>
            <w:r>
              <w:t>P1-j</w:t>
            </w:r>
          </w:p>
        </w:tc>
        <w:tc>
          <w:tcPr>
            <w:tcW w:type="dxa" w:w="2340"/>
          </w:tcPr>
          <w:p>
            <w:r/>
            <w:r>
              <w:t>Trademark Filings Plan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20"/>
              </w:rPr>
              <w:t>17-trademark-filings-plan</w:t>
            </w:r>
          </w:p>
        </w:tc>
        <w:tc>
          <w:tcPr>
            <w:tcW w:type="dxa" w:w="2340"/>
          </w:tcPr>
          <w:p>
            <w:r/>
            <w:r>
              <w:t>35</w:t>
            </w:r>
          </w:p>
        </w:tc>
      </w:tr>
      <w:tr>
        <w:tc>
          <w:tcPr>
            <w:tcW w:type="dxa" w:w="2340"/>
          </w:tcPr>
          <w:p>
            <w:r/>
            <w:r>
              <w:t>P1-k</w:t>
            </w:r>
          </w:p>
        </w:tc>
        <w:tc>
          <w:tcPr>
            <w:tcW w:type="dxa" w:w="2340"/>
          </w:tcPr>
          <w:p>
            <w:r/>
            <w:r>
              <w:t>Copyright Registration Strategy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20"/>
              </w:rPr>
              <w:t>18-copyright-registration-strategy</w:t>
            </w:r>
          </w:p>
        </w:tc>
        <w:tc>
          <w:tcPr>
            <w:tcW w:type="dxa" w:w="2340"/>
          </w:tcPr>
          <w:p>
            <w:r/>
            <w:r>
              <w:t>35</w:t>
            </w:r>
          </w:p>
        </w:tc>
      </w:tr>
      <w:tr>
        <w:tc>
          <w:tcPr>
            <w:tcW w:type="dxa" w:w="2340"/>
          </w:tcPr>
          <w:p>
            <w:r/>
            <w:r>
              <w:t>P1-l</w:t>
            </w:r>
          </w:p>
        </w:tc>
        <w:tc>
          <w:tcPr>
            <w:tcW w:type="dxa" w:w="2340"/>
          </w:tcPr>
          <w:p>
            <w:r/>
            <w:r>
              <w:t>Data Processing Agreement Template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20"/>
              </w:rPr>
              <w:t>19-data-processing-agreement-template</w:t>
            </w:r>
          </w:p>
        </w:tc>
        <w:tc>
          <w:tcPr>
            <w:tcW w:type="dxa" w:w="2340"/>
          </w:tcPr>
          <w:p>
            <w:r/>
            <w:r>
              <w:t>70</w:t>
            </w:r>
          </w:p>
        </w:tc>
      </w:tr>
      <w:tr>
        <w:tc>
          <w:tcPr>
            <w:tcW w:type="dxa" w:w="2340"/>
          </w:tcPr>
          <w:p>
            <w:r/>
            <w:r>
              <w:t>P1-m</w:t>
            </w:r>
          </w:p>
        </w:tc>
        <w:tc>
          <w:tcPr>
            <w:tcW w:type="dxa" w:w="2340"/>
          </w:tcPr>
          <w:p>
            <w:r/>
            <w:r>
              <w:t>Nonprofit Governance Bundle (Articles, Bylaws, COI, Whistleblower, Retention)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20"/>
              </w:rPr>
              <w:t>20-nonprofit-governance-bundle</w:t>
            </w:r>
          </w:p>
        </w:tc>
        <w:tc>
          <w:tcPr>
            <w:tcW w:type="dxa" w:w="2340"/>
          </w:tcPr>
          <w:p>
            <w:r/>
            <w:r>
              <w:t>55</w:t>
            </w:r>
          </w:p>
        </w:tc>
      </w:tr>
      <w:tr>
        <w:tc>
          <w:tcPr>
            <w:tcW w:type="dxa" w:w="2340"/>
          </w:tcPr>
          <w:p>
            <w:r/>
            <w:r>
              <w:t>P1-n</w:t>
            </w:r>
          </w:p>
        </w:tc>
        <w:tc>
          <w:tcPr>
            <w:tcW w:type="dxa" w:w="2340"/>
          </w:tcPr>
          <w:p>
            <w:r/>
            <w:r>
              <w:t>State Charitable Solicitation Plan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20"/>
              </w:rPr>
              <w:t>21-charitable-solicitation-plan</w:t>
            </w:r>
          </w:p>
        </w:tc>
        <w:tc>
          <w:tcPr>
            <w:tcW w:type="dxa" w:w="2340"/>
          </w:tcPr>
          <w:p>
            <w:r/>
            <w:r>
              <w:t>45</w:t>
            </w:r>
          </w:p>
        </w:tc>
      </w:tr>
      <w:tr>
        <w:tc>
          <w:tcPr>
            <w:tcW w:type="dxa" w:w="2340"/>
          </w:tcPr>
          <w:p>
            <w:r/>
            <w:r>
              <w:t>P1-o</w:t>
            </w:r>
          </w:p>
        </w:tc>
        <w:tc>
          <w:tcPr>
            <w:tcW w:type="dxa" w:w="2340"/>
          </w:tcPr>
          <w:p>
            <w:r/>
            <w:r>
              <w:t>Board Member / Officer Agreement + D&amp;O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20"/>
              </w:rPr>
              <w:t>11-board-officer-agreement</w:t>
            </w:r>
          </w:p>
        </w:tc>
        <w:tc>
          <w:tcPr>
            <w:tcW w:type="dxa" w:w="2340"/>
          </w:tcPr>
          <w:p>
            <w:r/>
            <w:r>
              <w:t>70</w:t>
            </w:r>
          </w:p>
        </w:tc>
      </w:tr>
      <w:tr>
        <w:tc>
          <w:tcPr>
            <w:tcW w:type="dxa" w:w="2340"/>
          </w:tcPr>
          <w:p>
            <w:r/>
            <w:r>
              <w:t>P1-p</w:t>
            </w:r>
          </w:p>
        </w:tc>
        <w:tc>
          <w:tcPr>
            <w:tcW w:type="dxa" w:w="2340"/>
          </w:tcPr>
          <w:p>
            <w:r/>
            <w:r>
              <w:t>Ombudsman Charter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20"/>
              </w:rPr>
              <w:t>13-ombudsman-charter</w:t>
            </w:r>
          </w:p>
        </w:tc>
        <w:tc>
          <w:tcPr>
            <w:tcW w:type="dxa" w:w="2340"/>
          </w:tcPr>
          <w:p>
            <w:r/>
            <w:r>
              <w:t>30</w:t>
            </w:r>
          </w:p>
        </w:tc>
      </w:tr>
      <w:tr>
        <w:tc>
          <w:tcPr>
            <w:tcW w:type="dxa" w:w="2340"/>
          </w:tcPr>
          <w:p>
            <w:r/>
            <w:r>
              <w:t>P1-q</w:t>
            </w:r>
          </w:p>
        </w:tc>
        <w:tc>
          <w:tcPr>
            <w:tcW w:type="dxa" w:w="2340"/>
          </w:tcPr>
          <w:p>
            <w:r/>
            <w:r>
              <w:t>Foundation Working-Group Volunteer Agreement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20"/>
              </w:rPr>
              <w:t>12-volunteer-agreement</w:t>
            </w:r>
          </w:p>
        </w:tc>
        <w:tc>
          <w:tcPr>
            <w:tcW w:type="dxa" w:w="2340"/>
          </w:tcPr>
          <w:p>
            <w:r/>
            <w:r>
              <w:t>40</w:t>
            </w:r>
          </w:p>
        </w:tc>
      </w:tr>
      <w:tr>
        <w:tc>
          <w:tcPr>
            <w:tcW w:type="dxa" w:w="2340"/>
          </w:tcPr>
          <w:p>
            <w:r/>
            <w:r>
              <w:t>P1-r</w:t>
            </w:r>
          </w:p>
        </w:tc>
        <w:tc>
          <w:tcPr>
            <w:tcW w:type="dxa" w:w="2340"/>
          </w:tcPr>
          <w:p>
            <w:r/>
            <w:r>
              <w:t>Data Processing Agreement Template — subprocessor riders (Printful, Lulu)</w:t>
            </w:r>
          </w:p>
        </w:tc>
        <w:tc>
          <w:tcPr>
            <w:tcW w:type="dxa" w:w="2340"/>
          </w:tcPr>
          <w:p>
            <w:r/>
            <w:r>
              <w:t>derived from P1-l</w:t>
            </w:r>
          </w:p>
        </w:tc>
        <w:tc>
          <w:tcPr>
            <w:tcW w:type="dxa" w:w="2340"/>
          </w:tcPr>
          <w:p>
            <w:r/>
            <w:r>
              <w:t>70</w:t>
            </w:r>
          </w:p>
        </w:tc>
      </w:tr>
      <w:tr>
        <w:tc>
          <w:tcPr>
            <w:tcW w:type="dxa" w:w="2340"/>
          </w:tcPr>
          <w:p>
            <w:r/>
            <w:r>
              <w:t>P1-s</w:t>
            </w:r>
          </w:p>
        </w:tc>
        <w:tc>
          <w:tcPr>
            <w:tcW w:type="dxa" w:w="2340"/>
          </w:tcPr>
          <w:p>
            <w:r/>
            <w:r>
              <w:t>Counsel Terms of Access</w:t>
            </w:r>
          </w:p>
        </w:tc>
        <w:tc>
          <w:tcPr>
            <w:tcW w:type="dxa" w:w="2340"/>
          </w:tcPr>
          <w:p>
            <w:r/>
            <w:r>
              <w:t>new — text in Legal Briefing §7.1 / draft P2-i</w:t>
            </w:r>
          </w:p>
        </w:tc>
        <w:tc>
          <w:tcPr>
            <w:tcW w:type="dxa" w:w="2340"/>
          </w:tcPr>
          <w:p>
            <w:r/>
            <w:r>
              <w:t>10</w:t>
            </w:r>
          </w:p>
        </w:tc>
      </w:tr>
      <w:tr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  <w:r>
              <w:rPr>
                <w:b/>
              </w:rPr>
              <w:t>Subtotal — compliance / IP / governance</w:t>
            </w:r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  <w:r>
              <w:rPr>
                <w:b/>
              </w:rPr>
              <w:t>675</w:t>
            </w:r>
          </w:p>
        </w:tc>
      </w:tr>
    </w:tbl>
    <w:p/>
    <w:p>
      <w:r>
        <w:rPr>
          <w:b/>
        </w:rPr>
        <w:t>Priority One total: 1,020 minutes (17.0 hours).</w:t>
      </w:r>
    </w:p>
    <w:p/>
    <w:p>
      <w:pPr>
        <w:pStyle w:val="Heading2"/>
      </w:pPr>
      <w:r>
        <w:t>Priority Two — partner instruments, charters, and internal plans</w:t>
      </w:r>
    </w:p>
    <w:p>
      <w:r>
        <w:t>Formalize the money flows and role relationships that already exist in production, plus the advisory memos. Can proceed in parallel with Priority One as counsel's bandwidth allows; individual items can also be batched when the corresponding counterparty is ready to sign.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Instrument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Draft slug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Est.</w:t>
            </w:r>
          </w:p>
        </w:tc>
      </w:tr>
      <w:tr>
        <w:tc>
          <w:tcPr>
            <w:tcW w:type="dxa" w:w="2340"/>
          </w:tcPr>
          <w:p>
            <w:r/>
            <w:r>
              <w:t>P2-a</w:t>
            </w:r>
          </w:p>
        </w:tc>
        <w:tc>
          <w:tcPr>
            <w:tcW w:type="dxa" w:w="2340"/>
          </w:tcPr>
          <w:p>
            <w:r/>
            <w:r>
              <w:t>Facilitator Services Agreement + IP Assignment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20"/>
              </w:rPr>
              <w:t>05-facilitator-services-agreement</w:t>
            </w:r>
          </w:p>
        </w:tc>
        <w:tc>
          <w:tcPr>
            <w:tcW w:type="dxa" w:w="2340"/>
          </w:tcPr>
          <w:p>
            <w:r/>
            <w:r>
              <w:t>90</w:t>
            </w:r>
          </w:p>
        </w:tc>
      </w:tr>
      <w:tr>
        <w:tc>
          <w:tcPr>
            <w:tcW w:type="dxa" w:w="2340"/>
          </w:tcPr>
          <w:p>
            <w:r/>
            <w:r>
              <w:t>P2-b</w:t>
            </w:r>
          </w:p>
        </w:tc>
        <w:tc>
          <w:tcPr>
            <w:tcW w:type="dxa" w:w="2340"/>
          </w:tcPr>
          <w:p>
            <w:r/>
            <w:r>
              <w:t>Artist Consignment / Gallery Partner Agreement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20"/>
              </w:rPr>
              <w:t>06-artist-consignment-agreement</w:t>
            </w:r>
          </w:p>
        </w:tc>
        <w:tc>
          <w:tcPr>
            <w:tcW w:type="dxa" w:w="2340"/>
          </w:tcPr>
          <w:p>
            <w:r/>
            <w:r>
              <w:t>70</w:t>
            </w:r>
          </w:p>
        </w:tc>
      </w:tr>
      <w:tr>
        <w:tc>
          <w:tcPr>
            <w:tcW w:type="dxa" w:w="2340"/>
          </w:tcPr>
          <w:p>
            <w:r/>
            <w:r>
              <w:t>P2-c</w:t>
            </w:r>
          </w:p>
        </w:tc>
        <w:tc>
          <w:tcPr>
            <w:tcW w:type="dxa" w:w="2340"/>
          </w:tcPr>
          <w:p>
            <w:r/>
            <w:r>
              <w:t>Vendor Supplier / Dropship Agreement (7C's Farmstead first)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20"/>
              </w:rPr>
              <w:t>07-vendor-supplier-agreement</w:t>
            </w:r>
          </w:p>
        </w:tc>
        <w:tc>
          <w:tcPr>
            <w:tcW w:type="dxa" w:w="2340"/>
          </w:tcPr>
          <w:p>
            <w:r/>
            <w:r>
              <w:t>85</w:t>
            </w:r>
          </w:p>
        </w:tc>
      </w:tr>
      <w:tr>
        <w:tc>
          <w:tcPr>
            <w:tcW w:type="dxa" w:w="2340"/>
          </w:tcPr>
          <w:p>
            <w:r/>
            <w:r>
              <w:t>P2-d</w:t>
            </w:r>
          </w:p>
        </w:tc>
        <w:tc>
          <w:tcPr>
            <w:tcW w:type="dxa" w:w="2340"/>
          </w:tcPr>
          <w:p>
            <w:r/>
            <w:r>
              <w:t>Community Partner Referral Agreement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20"/>
              </w:rPr>
              <w:t>08-community-partner-referral-agreement</w:t>
            </w:r>
          </w:p>
        </w:tc>
        <w:tc>
          <w:tcPr>
            <w:tcW w:type="dxa" w:w="2340"/>
          </w:tcPr>
          <w:p>
            <w:r/>
            <w:r>
              <w:t>50</w:t>
            </w:r>
          </w:p>
        </w:tc>
      </w:tr>
      <w:tr>
        <w:tc>
          <w:tcPr>
            <w:tcW w:type="dxa" w:w="2340"/>
          </w:tcPr>
          <w:p>
            <w:r/>
            <w:r>
              <w:t>P2-e</w:t>
            </w:r>
          </w:p>
        </w:tc>
        <w:tc>
          <w:tcPr>
            <w:tcW w:type="dxa" w:w="2340"/>
          </w:tcPr>
          <w:p>
            <w:r/>
            <w:r>
              <w:t>Sponsorship Agreement + Sponsor Recognition Consent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20"/>
              </w:rPr>
              <w:t>09-sponsorship-agreement</w:t>
            </w:r>
          </w:p>
        </w:tc>
        <w:tc>
          <w:tcPr>
            <w:tcW w:type="dxa" w:w="2340"/>
          </w:tcPr>
          <w:p>
            <w:r/>
            <w:r>
              <w:t>50</w:t>
            </w:r>
          </w:p>
        </w:tc>
      </w:tr>
      <w:tr>
        <w:tc>
          <w:tcPr>
            <w:tcW w:type="dxa" w:w="2340"/>
          </w:tcPr>
          <w:p>
            <w:r/>
            <w:r>
              <w:t>P2-f</w:t>
            </w:r>
          </w:p>
        </w:tc>
        <w:tc>
          <w:tcPr>
            <w:tcW w:type="dxa" w:w="2340"/>
          </w:tcPr>
          <w:p>
            <w:r/>
            <w:r>
              <w:t>Research Collaborator Honoraria Rider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20"/>
              </w:rPr>
              <w:t>23-research-collaborator-honoraria-rider</w:t>
            </w:r>
          </w:p>
        </w:tc>
        <w:tc>
          <w:tcPr>
            <w:tcW w:type="dxa" w:w="2340"/>
          </w:tcPr>
          <w:p>
            <w:r/>
            <w:r>
              <w:t>45</w:t>
            </w:r>
          </w:p>
        </w:tc>
      </w:tr>
      <w:tr>
        <w:tc>
          <w:tcPr>
            <w:tcW w:type="dxa" w:w="2340"/>
          </w:tcPr>
          <w:p>
            <w:r/>
            <w:r>
              <w:t>P2-g</w:t>
            </w:r>
          </w:p>
        </w:tc>
        <w:tc>
          <w:tcPr>
            <w:tcW w:type="dxa" w:w="2340"/>
          </w:tcPr>
          <w:p>
            <w:r/>
            <w:r>
              <w:t>Founding Partner Uplift Rider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20"/>
              </w:rPr>
              <w:t>24-founding-partner-uplift-rider</w:t>
            </w:r>
          </w:p>
        </w:tc>
        <w:tc>
          <w:tcPr>
            <w:tcW w:type="dxa" w:w="2340"/>
          </w:tcPr>
          <w:p>
            <w:r/>
            <w:r>
              <w:t>30</w:t>
            </w:r>
          </w:p>
        </w:tc>
      </w:tr>
      <w:tr>
        <w:tc>
          <w:tcPr>
            <w:tcW w:type="dxa" w:w="2340"/>
          </w:tcPr>
          <w:p>
            <w:r/>
            <w:r>
              <w:t>P2-h</w:t>
            </w:r>
          </w:p>
        </w:tc>
        <w:tc>
          <w:tcPr>
            <w:tcW w:type="dxa" w:w="2340"/>
          </w:tcPr>
          <w:p>
            <w:r/>
            <w:r>
              <w:t>Facilitator Curriculum Licence Rider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20"/>
              </w:rPr>
              <w:t>25-facilitator-curriculum-licence-rider</w:t>
            </w:r>
          </w:p>
        </w:tc>
        <w:tc>
          <w:tcPr>
            <w:tcW w:type="dxa" w:w="2340"/>
          </w:tcPr>
          <w:p>
            <w:r/>
            <w:r>
              <w:t>30</w:t>
            </w:r>
          </w:p>
        </w:tc>
      </w:tr>
      <w:tr>
        <w:tc>
          <w:tcPr>
            <w:tcW w:type="dxa" w:w="2340"/>
          </w:tcPr>
          <w:p>
            <w:r/>
            <w:r>
              <w:t>P2-i</w:t>
            </w:r>
          </w:p>
        </w:tc>
        <w:tc>
          <w:tcPr>
            <w:tcW w:type="dxa" w:w="2340"/>
          </w:tcPr>
          <w:p>
            <w:r/>
            <w:r>
              <w:t>AI-Generated Content Policy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20"/>
              </w:rPr>
              <w:t>26-ai-generated-content-policy</w:t>
            </w:r>
          </w:p>
        </w:tc>
        <w:tc>
          <w:tcPr>
            <w:tcW w:type="dxa" w:w="2340"/>
          </w:tcPr>
          <w:p>
            <w:r/>
            <w:r>
              <w:t>25</w:t>
            </w:r>
          </w:p>
        </w:tc>
      </w:tr>
      <w:tr>
        <w:tc>
          <w:tcPr>
            <w:tcW w:type="dxa" w:w="2340"/>
          </w:tcPr>
          <w:p>
            <w:r/>
            <w:r>
              <w:t>P2-j</w:t>
            </w:r>
          </w:p>
        </w:tc>
        <w:tc>
          <w:tcPr>
            <w:tcW w:type="dxa" w:w="2340"/>
          </w:tcPr>
          <w:p>
            <w:r/>
            <w:r>
              <w:t>ISTV Contract — Business-Value &amp; Risk Memo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20"/>
              </w:rPr>
              <w:t>22-istv-contract-analysis-memo</w:t>
            </w:r>
          </w:p>
        </w:tc>
        <w:tc>
          <w:tcPr>
            <w:tcW w:type="dxa" w:w="2340"/>
          </w:tcPr>
          <w:p>
            <w:r/>
            <w:r>
              <w:t>15</w:t>
            </w:r>
          </w:p>
        </w:tc>
      </w:tr>
      <w:tr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  <w:r>
              <w:rPr>
                <w:b/>
              </w:rPr>
              <w:t>Priority Two total</w:t>
            </w:r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  <w:r>
              <w:rPr>
                <w:b/>
              </w:rPr>
              <w:t>480</w:t>
            </w:r>
          </w:p>
        </w:tc>
      </w:tr>
    </w:tbl>
    <w:p/>
    <w:p/>
    <w:p>
      <w:pPr>
        <w:pStyle w:val="Heading2"/>
      </w:pPr>
      <w:r>
        <w:t>Assumptions</w:t>
      </w:r>
    </w:p>
    <w:p>
      <w:pPr>
        <w:pStyle w:val="ListBullet"/>
      </w:pPr>
      <w:r>
        <w:t>Reading estimates are doc-level, not prescriptive. Counsel allocates time as counsel sees fit.</w:t>
      </w:r>
    </w:p>
    <w:p>
      <w:pPr>
        <w:pStyle w:val="ListBullet"/>
      </w:pPr>
      <w:r>
        <w:t>Estimates cover review time only. Any drafting-back or follow-up negotiation with counterparties is not included here.</w:t>
      </w:r>
    </w:p>
    <w:p>
      <w:pPr>
        <w:pStyle w:val="ListBullet"/>
      </w:pPr>
      <w:r>
        <w:t>All drafts already carry an EU/UK compliance addendum (see below); the addendum itself does not require separate review time.</w:t>
      </w:r>
    </w:p>
    <w:p/>
    <w:p>
      <w:pPr>
        <w:pStyle w:val="Heading2"/>
      </w:pPr>
      <w:r>
        <w:t>EU / UK Compliance Addendum</w:t>
      </w:r>
    </w:p>
    <w:p>
      <w:r>
        <w:t>All draft agreements were prepared with EU/UK regulatory alignment in mind. Mandatory local rights prevail where they conflict.</w:t>
      </w:r>
    </w:p>
    <w:p>
      <w:pPr>
        <w:pStyle w:val="ListBullet"/>
      </w:pPr>
      <w:r>
        <w:rPr>
          <w:b/>
        </w:rPr>
        <w:t>GDPR / UK-GDPR.</w:t>
      </w:r>
      <w:r>
        <w:t xml:space="preserve"> Lawful bases mapped: contract necessity, legitimate interests (opt-out), consent (marketing / non-essential cookies), legal obligation.</w:t>
      </w:r>
    </w:p>
    <w:p>
      <w:pPr>
        <w:pStyle w:val="ListBullet"/>
      </w:pPr>
      <w:r>
        <w:rPr>
          <w:b/>
        </w:rPr>
        <w:t>ePrivacy.</w:t>
      </w:r>
      <w:r>
        <w:t xml:space="preserve"> Non-essential cookies require prior opt-in consent.</w:t>
      </w:r>
    </w:p>
    <w:p>
      <w:pPr>
        <w:pStyle w:val="ListBullet"/>
      </w:pPr>
      <w:r>
        <w:rPr>
          <w:b/>
        </w:rPr>
        <w:t>Consumer Rights Directive (2011/83/EU).</w:t>
      </w:r>
      <w:r>
        <w:t xml:space="preserve"> 14-day right of withdrawal on distance sales of goods and most digital services (may be lost where a workshop or digital product is fully performed with prior consent).</w:t>
      </w:r>
    </w:p>
    <w:p>
      <w:pPr>
        <w:pStyle w:val="ListBullet"/>
      </w:pPr>
      <w:r>
        <w:rPr>
          <w:b/>
        </w:rPr>
        <w:t>Digital Services Act (Reg. 2022/2065).</w:t>
      </w:r>
      <w:r>
        <w:t xml:space="preserve"> Community features fall in scope; single point of contact: </w:t>
      </w:r>
      <w:r>
        <w:rPr>
          <w:rFonts w:ascii="Consolas" w:hAnsi="Consolas"/>
          <w:sz w:val="20"/>
        </w:rPr>
        <w:t>eu-contact@birthright.live</w:t>
      </w:r>
      <w:r>
        <w:t>.</w:t>
      </w:r>
    </w:p>
    <w:p>
      <w:pPr>
        <w:pStyle w:val="ListBullet"/>
      </w:pPr>
      <w:r>
        <w:rPr>
          <w:b/>
        </w:rPr>
        <w:t>EU AI Act (Reg. 2024/1689).</w:t>
      </w:r>
      <w:r>
        <w:t xml:space="preserve"> AI features are labelled AI-assisted and are not used for automated decisions with legal effect.</w:t>
      </w:r>
    </w:p>
    <w:p>
      <w:pPr>
        <w:pStyle w:val="ListBullet"/>
      </w:pPr>
      <w:r>
        <w:rPr>
          <w:b/>
        </w:rPr>
        <w:t>International transfers.</w:t>
      </w:r>
      <w:r>
        <w:t xml:space="preserve"> EU SCCs (2021/914) + UK IDTA per sub-processor, with a transfer-impact assessment on file.</w:t>
      </w:r>
    </w:p>
    <w:p>
      <w:pPr>
        <w:pStyle w:val="ListBullet"/>
      </w:pPr>
      <w:r>
        <w:rPr>
          <w:b/>
        </w:rPr>
        <w:t>DPO.</w:t>
      </w:r>
      <w:r>
        <w:t xml:space="preserve"> </w:t>
      </w:r>
      <w:r>
        <w:rPr>
          <w:rFonts w:ascii="Consolas" w:hAnsi="Consolas"/>
          <w:sz w:val="20"/>
        </w:rPr>
        <w:t>dpo@birthright.live</w:t>
      </w:r>
      <w:r>
        <w:t xml:space="preserve"> will be designated once GDPR Art. 37 thresholds are met.</w:t>
      </w:r>
    </w:p>
    <w:p>
      <w:pPr>
        <w:pStyle w:val="ListBullet"/>
      </w:pPr>
      <w:r>
        <w:rPr>
          <w:b/>
        </w:rPr>
        <w:t>DSAR window.</w:t>
      </w:r>
      <w:r>
        <w:t xml:space="preserve"> 30 days (extendable 60 for complex requests) at </w:t>
      </w:r>
      <w:r>
        <w:rPr>
          <w:rFonts w:ascii="Consolas" w:hAnsi="Consolas"/>
          <w:sz w:val="20"/>
        </w:rPr>
        <w:t>privacy@birthright.live</w:t>
      </w:r>
      <w:r>
        <w:t>.</w:t>
      </w:r>
    </w:p>
    <w:p>
      <w:pPr>
        <w:pStyle w:val="ListBullet"/>
      </w:pPr>
      <w:r>
        <w:rPr>
          <w:b/>
        </w:rPr>
        <w:t>VAT.</w:t>
      </w:r>
      <w:r>
        <w:t xml:space="preserve"> One-Stop-Shop or country-by-country registration will be completed once thresholds are crossed.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