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288"/>
      </w:pPr>
      <w:r>
        <w:rPr>
          <w:i/>
          <w:color w:val="7C5316"/>
        </w:rPr>
        <w:t>**FIRST DRAFT — PENDING COUNSEL RATIFICATION**</w:t>
      </w:r>
    </w:p>
    <w:p>
      <w:r>
        <w:t>&gt;</w:t>
      </w:r>
    </w:p>
    <w:p>
      <w:pPr>
        <w:ind w:left="288"/>
      </w:pPr>
      <w:r>
        <w:rPr>
          <w:i/>
          <w:color w:val="7C5316"/>
        </w:rPr>
        <w:t>This document is a first draft prepared for outside counsel review.</w:t>
      </w:r>
    </w:p>
    <w:p>
      <w:pPr>
        <w:ind w:left="288"/>
      </w:pPr>
      <w:r>
        <w:rPr>
          <w:i/>
          <w:color w:val="7C5316"/>
        </w:rPr>
        <w:t>It uses accepted standard language for its type and is intended to</w:t>
      </w:r>
    </w:p>
    <w:p>
      <w:pPr>
        <w:ind w:left="288"/>
      </w:pPr>
      <w:r>
        <w:rPr>
          <w:i/>
          <w:color w:val="7C5316"/>
        </w:rPr>
        <w:t>be published in this form after ratification. Until counsel signs</w:t>
      </w:r>
    </w:p>
    <w:p>
      <w:pPr>
        <w:ind w:left="288"/>
      </w:pPr>
      <w:r>
        <w:rPr>
          <w:i/>
          <w:color w:val="7C5316"/>
        </w:rPr>
        <w:t>off, treat any specific figure, warranty, or jurisdictional choice</w:t>
      </w:r>
    </w:p>
    <w:p>
      <w:pPr>
        <w:ind w:left="288"/>
      </w:pPr>
      <w:r>
        <w:rPr>
          <w:i/>
          <w:color w:val="7C5316"/>
        </w:rPr>
        <w:t>as tentative.</w:t>
      </w:r>
    </w:p>
    <w:p>
      <w:r>
        <w:t>&gt;</w:t>
      </w:r>
    </w:p>
    <w:p>
      <w:pPr>
        <w:ind w:left="288"/>
      </w:pPr>
      <w:r>
        <w:rPr>
          <w:i/>
          <w:color w:val="7C5316"/>
        </w:rPr>
        <w:t>Version: February 2026 · Birthright Foundation (birthright.live) ·</w:t>
      </w:r>
    </w:p>
    <w:p>
      <w:pPr>
        <w:ind w:left="288"/>
      </w:pPr>
      <w:r>
        <w:rPr>
          <w:i/>
          <w:color w:val="7C5316"/>
        </w:rPr>
        <w:t>Executive Director: Amanda Reagan · Contact: legal@birthright.live</w:t>
      </w:r>
    </w:p>
    <w:p>
      <w:pPr>
        <w:pStyle w:val="Heading1"/>
      </w:pPr>
      <w:r>
        <w:t>Vendor Supplier / Dropship Agreement</w:t>
      </w:r>
    </w:p>
    <w:p>
      <w:r>
        <w:rPr>
          <w:b/>
        </w:rPr>
        <w:t>Parties:</w:t>
      </w:r>
      <w:r>
        <w:t xml:space="preserve"> Birthright Foundation ("Birthright") and the vendor identified below ("Vendor"). This agreement governs Vendor's sale of goods through birthright.live, whether fulfilled by Vendor (dropship), by print partners on Vendor's behalf, or by Birthright holding stock.</w:t>
      </w:r>
    </w:p>
    <w:p>
      <w:pPr>
        <w:pStyle w:val="Heading2"/>
      </w:pPr>
      <w:r>
        <w:t>1. Independent Contractor</w:t>
      </w:r>
    </w:p>
    <w:p>
      <w:r>
        <w:t xml:space="preserve">Vendor is an </w:t>
      </w:r>
      <w:r>
        <w:rPr>
          <w:b/>
        </w:rPr>
        <w:t>independent contractor</w:t>
      </w:r>
      <w:r>
        <w:t>. Nothing in this agreement creates employment, agency, or partnership.</w:t>
      </w:r>
    </w:p>
    <w:p>
      <w:pPr>
        <w:pStyle w:val="Heading2"/>
      </w:pPr>
      <w:r>
        <w:t>2. Product Listings</w:t>
      </w:r>
    </w:p>
    <w:p>
      <w:r>
        <w:t>Vendor may list products approved by Birthright. Each listing states name, description, SKU, retail price, wholesale price, fulfilment mode (Vendor, print partner, or Birthright), and stock policy. Vendor is responsible for the accuracy of listing content.</w:t>
      </w:r>
    </w:p>
    <w:p>
      <w:pPr>
        <w:pStyle w:val="Heading2"/>
      </w:pPr>
      <w:r>
        <w:t>3. Wholesale Price &amp; Retail</w:t>
      </w:r>
    </w:p>
    <w:p>
      <w:r>
        <w:t>Birthright pays Vendor the wholesale price for each sold unit; Birthright retains retail minus wholesale minus payment fees. Retail price includes shipping unless otherwise noted. Founding Partner vendors earn an additional 5% margin uplift for 5 years.</w:t>
      </w:r>
    </w:p>
    <w:p>
      <w:pPr>
        <w:pStyle w:val="Heading2"/>
      </w:pPr>
      <w:r>
        <w:t>4. Order Fulfilment</w:t>
      </w:r>
    </w:p>
    <w:p>
      <w:pPr>
        <w:pStyle w:val="ListBullet"/>
      </w:pPr>
      <w:r>
        <w:rPr>
          <w:b/>
        </w:rPr>
        <w:t>Vendor dropship</w:t>
      </w:r>
      <w:r>
        <w:t>: Vendor ships within 3 business days of a cleared order, or within Vendor's stated production time for made-to-order goods.</w:t>
      </w:r>
    </w:p>
    <w:p>
      <w:pPr>
        <w:pStyle w:val="ListBullet"/>
      </w:pPr>
      <w:r>
        <w:rPr>
          <w:b/>
        </w:rPr>
        <w:t>Vendor custom form</w:t>
      </w:r>
      <w:r>
        <w:t xml:space="preserve"> (e.g., 7C's Farmstead patches): Birthright sends Vendor a fully pre-filled order form; Vendor produces and ships.</w:t>
      </w:r>
    </w:p>
    <w:p>
      <w:pPr>
        <w:pStyle w:val="ListBullet"/>
      </w:pPr>
      <w:r>
        <w:rPr>
          <w:b/>
        </w:rPr>
        <w:t>Print partners</w:t>
      </w:r>
      <w:r>
        <w:t xml:space="preserve"> (Printful / Lulu): fulfilment is handled by the partner under Birthright's account.</w:t>
      </w:r>
    </w:p>
    <w:p>
      <w:pPr>
        <w:pStyle w:val="Heading2"/>
      </w:pPr>
      <w:r>
        <w:t>5. Warranty &amp; Returns</w:t>
      </w:r>
    </w:p>
    <w:p>
      <w:r>
        <w:t>Vendor warrants goods are as described, fit for intended use, and free from material defect. Buyer returns for defect or misdescription are refunded by Birthright; Birthright is entitled to recoup wholesale from Vendor. See [Refund &amp; Returns Policy](/legal/refunds).</w:t>
      </w:r>
    </w:p>
    <w:p>
      <w:pPr>
        <w:pStyle w:val="Heading2"/>
      </w:pPr>
      <w:r>
        <w:t>6. Intellectual Property</w:t>
      </w:r>
    </w:p>
    <w:p>
      <w:r>
        <w:t>Vendor retains ownership of Vendor's product designs and marks. Vendor grants Birthright a non-exclusive, royalty-free licence to list, market, and photograph the products for sale on the platform.</w:t>
      </w:r>
    </w:p>
    <w:p>
      <w:pPr>
        <w:pStyle w:val="Heading2"/>
      </w:pPr>
      <w:r>
        <w:t>7. Payouts</w:t>
      </w:r>
    </w:p>
    <w:p>
      <w:r>
        <w:t>Monthly payouts when Vendor's balance exceeds US $50. Vendor provides a W-9 (or W-8BEN) before the first payout.</w:t>
      </w:r>
    </w:p>
    <w:p>
      <w:pPr>
        <w:pStyle w:val="Heading2"/>
      </w:pPr>
      <w:r>
        <w:t>8. Indemnity &amp; Insurance</w:t>
      </w:r>
    </w:p>
    <w:p>
      <w:r>
        <w:t>Vendor warrants goods do not infringe third-party rights and comply with applicable safety and labelling laws. Vendor will indemnify Birthright against claims arising from the goods and will maintain US $1,000,000 per-occurrence product-liability insurance if goods are physical consumables or wearables.</w:t>
      </w:r>
    </w:p>
    <w:p>
      <w:pPr>
        <w:pStyle w:val="Heading2"/>
      </w:pPr>
      <w:r>
        <w:t>9. Term &amp; Termination</w:t>
      </w:r>
    </w:p>
    <w:p>
      <w:r>
        <w:t>Either party may terminate on 30 days' written notice. On termination, existing orders are fulfilled and pending payouts settled.</w:t>
      </w:r>
    </w:p>
    <w:p>
      <w:pPr>
        <w:pStyle w:val="Heading2"/>
      </w:pPr>
      <w:r>
        <w:t>10. Governing Law</w:t>
      </w:r>
    </w:p>
    <w:p>
      <w:r>
        <w:t>North Carolina, USA.</w:t>
      </w:r>
    </w:p>
    <w:p/>
    <w:p>
      <w:r>
        <w:t>*First draft — pending counsel ratification. Comments to legal@birthright.live.*</w:t>
      </w:r>
    </w:p>
    <w:p/>
    <w:p>
      <w:pPr>
        <w:pStyle w:val="Heading2"/>
      </w:pPr>
      <w:r>
        <w:t>EU / UK Compliance Addendum</w:t>
      </w:r>
    </w:p>
    <w:p>
      <w:r>
        <w:t>Where an EU or UK resident's mandatory local rights conflict with this document, the local rules prevail. Key points:</w:t>
      </w:r>
    </w:p>
    <w:p>
      <w:pPr>
        <w:pStyle w:val="ListBullet"/>
      </w:pPr>
      <w:r>
        <w:rPr>
          <w:b/>
        </w:rPr>
        <w:t>GDPR (EU) 2016/679</w:t>
      </w:r>
      <w:r>
        <w:t xml:space="preserve"> and </w:t>
      </w:r>
      <w:r>
        <w:rPr>
          <w:b/>
        </w:rPr>
        <w:t>UK GDPR</w:t>
      </w:r>
      <w:r>
        <w:t xml:space="preserve"> govern personal-data processing. Lawful bases: contract necessity, legitimate interests (with opt-out), consent (marketing / non-essential cookies), and legal obligation.</w:t>
      </w:r>
    </w:p>
    <w:p>
      <w:pPr>
        <w:pStyle w:val="ListBullet"/>
      </w:pPr>
      <w:r>
        <w:rPr>
          <w:b/>
        </w:rPr>
        <w:t>ePrivacy Directive (2002/58/EC)</w:t>
      </w:r>
      <w:r>
        <w:t xml:space="preserve"> — non-essential cookies require prior opt-in consent (see our Cookie Notice).</w:t>
      </w:r>
    </w:p>
    <w:p>
      <w:pPr>
        <w:pStyle w:val="ListBullet"/>
      </w:pPr>
      <w:r>
        <w:rPr>
          <w:b/>
        </w:rPr>
        <w:t>Consumer Rights Directive (2011/83/EU)</w:t>
      </w:r>
      <w:r>
        <w:t xml:space="preserve"> — 14-day right of withdrawal on distance sales of goods and most digital services. Fully-performed digital content with prior consent may lose that right.</w:t>
      </w:r>
    </w:p>
    <w:p>
      <w:pPr>
        <w:pStyle w:val="ListBullet"/>
      </w:pPr>
      <w:r>
        <w:rPr>
          <w:b/>
        </w:rPr>
        <w:t>Digital Services Act (Reg. 2022/2065)</w:t>
      </w:r>
      <w:r>
        <w:t xml:space="preserve"> — community features (posts, DMs, disputes) fall in scope. Single point of contact: eu-contact@birthright.live.</w:t>
      </w:r>
    </w:p>
    <w:p>
      <w:pPr>
        <w:pStyle w:val="ListBullet"/>
      </w:pPr>
      <w:r>
        <w:rPr>
          <w:b/>
        </w:rPr>
        <w:t>Cross-border transfers</w:t>
      </w:r>
      <w:r>
        <w:t xml:space="preserve"> — EU SCCs (2021/914) + UK IDTA with a transfer-impact assessment per sub-processor.</w:t>
      </w:r>
    </w:p>
    <w:p>
      <w:pPr>
        <w:pStyle w:val="ListBullet"/>
      </w:pPr>
      <w:r>
        <w:rPr>
          <w:b/>
        </w:rPr>
        <w:t>DSAR window</w:t>
      </w:r>
      <w:r>
        <w:t xml:space="preserve"> — 30 days (extendable to 90) at privacy@birthright.live.</w:t>
      </w:r>
    </w:p>
    <w:p>
      <w:pPr>
        <w:pStyle w:val="ListBullet"/>
      </w:pPr>
      <w:r>
        <w:rPr>
          <w:b/>
        </w:rPr>
        <w:t>Supervisory authority</w:t>
      </w:r>
      <w:r>
        <w:t xml:space="preserve"> — EU: your national DPA (</w:t>
      </w:r>
      <w:hyperlink r:id="rId9">
        <w:r>
          <w:rPr>
            <w:color w:val="0563C1"/>
            <w:u w:val="single"/>
          </w:rPr>
          <w:t xml:space="preserve">https://edpb.europa.eu</w:t>
        </w:r>
      </w:hyperlink>
      <w:r>
        <w:t>). UK: ICO (</w:t>
      </w:r>
      <w:hyperlink r:id="rId10">
        <w:r>
          <w:rPr>
            <w:color w:val="0563C1"/>
            <w:u w:val="single"/>
          </w:rPr>
          <w:t xml:space="preserve">https://ico.org.uk</w:t>
        </w:r>
      </w:hyperlink>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dpb.europa.eu" TargetMode="External"/><Relationship Id="rId10" Type="http://schemas.openxmlformats.org/officeDocument/2006/relationships/hyperlink" Target="https://ico.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