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288"/>
      </w:pPr>
      <w:r>
        <w:rPr>
          <w:i/>
          <w:color w:val="7C5316"/>
        </w:rPr>
        <w:t>**FIRST DRAFT — PENDING COUNSEL RATIFICATION**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This document is a first draft prepared for outside counsel review.</w:t>
      </w:r>
    </w:p>
    <w:p>
      <w:pPr>
        <w:ind w:left="288"/>
      </w:pPr>
      <w:r>
        <w:rPr>
          <w:i/>
          <w:color w:val="7C5316"/>
        </w:rPr>
        <w:t>It uses accepted standard language for its type and is intended to</w:t>
      </w:r>
    </w:p>
    <w:p>
      <w:pPr>
        <w:ind w:left="288"/>
      </w:pPr>
      <w:r>
        <w:rPr>
          <w:i/>
          <w:color w:val="7C5316"/>
        </w:rPr>
        <w:t>be published in this form after ratification. Until counsel signs</w:t>
      </w:r>
    </w:p>
    <w:p>
      <w:pPr>
        <w:ind w:left="288"/>
      </w:pPr>
      <w:r>
        <w:rPr>
          <w:i/>
          <w:color w:val="7C5316"/>
        </w:rPr>
        <w:t>off, treat any specific figure, warranty, or jurisdictional choice</w:t>
      </w:r>
    </w:p>
    <w:p>
      <w:pPr>
        <w:ind w:left="288"/>
      </w:pPr>
      <w:r>
        <w:rPr>
          <w:i/>
          <w:color w:val="7C5316"/>
        </w:rPr>
        <w:t>as tentative.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Version: February 2026 · Birthright Foundation (birthright.live) ·</w:t>
      </w:r>
    </w:p>
    <w:p>
      <w:pPr>
        <w:ind w:left="288"/>
      </w:pPr>
      <w:r>
        <w:rPr>
          <w:i/>
          <w:color w:val="7C5316"/>
        </w:rPr>
        <w:t>Executive Director: Amanda Reagan · Contact: legal@birthright.live</w:t>
      </w:r>
    </w:p>
    <w:p>
      <w:pPr>
        <w:pStyle w:val="Heading1"/>
      </w:pPr>
      <w:r>
        <w:t>Community Standards</w:t>
      </w:r>
    </w:p>
    <w:p>
      <w:r>
        <w:rPr>
          <w:b/>
        </w:rPr>
        <w:t>Effective date:</w:t>
      </w:r>
      <w:r>
        <w:t xml:space="preserve"> February 2026. These standards apply anywhere you interact with other people on birthright.live — reviews, posts, direct messages, gallery submissions, workshop chats.</w:t>
      </w:r>
    </w:p>
    <w:p>
      <w:pPr>
        <w:pStyle w:val="Heading2"/>
      </w:pPr>
      <w:r>
        <w:t>1. Our Commitment</w:t>
      </w:r>
    </w:p>
    <w:p>
      <w:r>
        <w:t>We keep this space attentive, honest, and safe. We do not remove content because it is uncomfortable; we do remove content that harms.</w:t>
      </w:r>
    </w:p>
    <w:p>
      <w:pPr>
        <w:pStyle w:val="Heading2"/>
      </w:pPr>
      <w:r>
        <w:t>2. Not Allowed</w:t>
      </w:r>
    </w:p>
    <w:p>
      <w:pPr>
        <w:pStyle w:val="ListBullet"/>
      </w:pPr>
      <w:r>
        <w:t>Threats, harassment, or targeted abuse.</w:t>
      </w:r>
    </w:p>
    <w:p>
      <w:pPr>
        <w:pStyle w:val="ListBullet"/>
      </w:pPr>
      <w:r>
        <w:t>Content sexualising minors.</w:t>
      </w:r>
    </w:p>
    <w:p>
      <w:pPr>
        <w:pStyle w:val="ListBullet"/>
      </w:pPr>
      <w:r>
        <w:t>Content encouraging self-harm or suicide (safe-messaging resources are welcome).</w:t>
      </w:r>
    </w:p>
    <w:p>
      <w:pPr>
        <w:pStyle w:val="ListBullet"/>
      </w:pPr>
      <w:r>
        <w:t>Illegal content, incitement to violence, or unlawful discrimination.</w:t>
      </w:r>
    </w:p>
    <w:p>
      <w:pPr>
        <w:pStyle w:val="ListBullet"/>
      </w:pPr>
      <w:r>
        <w:t>Doxxing (posting private identifying information about others).</w:t>
      </w:r>
    </w:p>
    <w:p>
      <w:pPr>
        <w:pStyle w:val="ListBullet"/>
      </w:pPr>
      <w:r>
        <w:t>Spam, scams, and impersonation.</w:t>
      </w:r>
    </w:p>
    <w:p>
      <w:pPr>
        <w:pStyle w:val="Heading2"/>
      </w:pPr>
      <w:r>
        <w:t>3. Please Handle With Care</w:t>
      </w:r>
    </w:p>
    <w:p>
      <w:pPr>
        <w:pStyle w:val="ListBullet"/>
      </w:pPr>
      <w:r>
        <w:t>Firsthand accounts of trauma, when relevant to the work. Add a brief content note.</w:t>
      </w:r>
    </w:p>
    <w:p>
      <w:pPr>
        <w:pStyle w:val="ListBullet"/>
      </w:pPr>
      <w:r>
        <w:t>Political or religious content, when relevant to the work. Assume good faith; disagree without contempt.</w:t>
      </w:r>
    </w:p>
    <w:p>
      <w:pPr>
        <w:pStyle w:val="ListBullet"/>
      </w:pPr>
      <w:r>
        <w:t>Health, legal, or financial claims. Cite sources; do not present as advice.</w:t>
      </w:r>
    </w:p>
    <w:p>
      <w:pPr>
        <w:pStyle w:val="Heading2"/>
      </w:pPr>
      <w:r>
        <w:t>4. What We Do</w:t>
      </w:r>
    </w:p>
    <w:p>
      <w:pPr>
        <w:pStyle w:val="ListBullet"/>
      </w:pPr>
      <w:r>
        <w:rPr>
          <w:b/>
        </w:rPr>
        <w:t>Warn</w:t>
      </w:r>
      <w:r>
        <w:t xml:space="preserve"> — first infraction of Section 3, we contact you.</w:t>
      </w:r>
    </w:p>
    <w:p>
      <w:pPr>
        <w:pStyle w:val="ListBullet"/>
      </w:pPr>
      <w:r>
        <w:rPr>
          <w:b/>
        </w:rPr>
        <w:t>Remove content</w:t>
      </w:r>
      <w:r>
        <w:t xml:space="preserve"> — Section 2, or repeated Section 3.</w:t>
      </w:r>
    </w:p>
    <w:p>
      <w:pPr>
        <w:pStyle w:val="ListBullet"/>
      </w:pPr>
      <w:r>
        <w:rPr>
          <w:b/>
        </w:rPr>
        <w:t>Suspend account</w:t>
      </w:r>
      <w:r>
        <w:t xml:space="preserve"> — severe or repeated violations.</w:t>
      </w:r>
    </w:p>
    <w:p>
      <w:pPr>
        <w:pStyle w:val="ListBullet"/>
      </w:pPr>
      <w:r>
        <w:rPr>
          <w:b/>
        </w:rPr>
        <w:t>Report to authorities</w:t>
      </w:r>
      <w:r>
        <w:t xml:space="preserve"> — for imminent-harm and mandated-report categories.</w:t>
      </w:r>
    </w:p>
    <w:p>
      <w:pPr>
        <w:pStyle w:val="ListBullet"/>
      </w:pPr>
      <w:r>
        <w:t>Actions are logged; users may appeal to the Ombudsman.</w:t>
      </w:r>
    </w:p>
    <w:p>
      <w:pPr>
        <w:pStyle w:val="Heading2"/>
      </w:pPr>
      <w:r>
        <w:t>5. Reporting</w:t>
      </w:r>
    </w:p>
    <w:p>
      <w:r>
        <w:t>Report a post through the "…" menu on the post, or email trust@birthright.live. We respond within 3 business days.</w:t>
      </w:r>
    </w:p>
    <w:p>
      <w:pPr>
        <w:pStyle w:val="Heading2"/>
      </w:pPr>
      <w:r>
        <w:t>6. Appeals</w:t>
      </w:r>
    </w:p>
    <w:p>
      <w:r>
        <w:t>If your content or account is actioned, you may appeal in writing within 14 days. Appeals are reviewed by a person who was not involved in the original decision.</w:t>
      </w:r>
    </w:p>
    <w:p/>
    <w:p>
      <w:r>
        <w:t>*First draft — pending counsel ratification. Comments to legal@birthright.live.*</w:t>
      </w:r>
    </w:p>
    <w:p/>
    <w:p>
      <w:pPr>
        <w:pStyle w:val="Heading2"/>
      </w:pPr>
      <w:r>
        <w:t>EU / UK Compliance Addendum</w:t>
      </w:r>
    </w:p>
    <w:p>
      <w:r>
        <w:t>Where an EU or UK resident's mandatory local rights conflict with this document, the local rules prevail. Key points:</w:t>
      </w:r>
    </w:p>
    <w:p>
      <w:pPr>
        <w:pStyle w:val="ListBullet"/>
      </w:pPr>
      <w:r>
        <w:rPr>
          <w:b/>
        </w:rPr>
        <w:t>GDPR (EU) 2016/679</w:t>
      </w:r>
      <w:r>
        <w:t xml:space="preserve"> and </w:t>
      </w:r>
      <w:r>
        <w:rPr>
          <w:b/>
        </w:rPr>
        <w:t>UK GDPR</w:t>
      </w:r>
      <w:r>
        <w:t xml:space="preserve"> govern personal-data processing. Lawful bases: contract necessity, legitimate interests (with opt-out), consent (marketing / non-essential cookies), and legal obligation.</w:t>
      </w:r>
    </w:p>
    <w:p>
      <w:pPr>
        <w:pStyle w:val="ListBullet"/>
      </w:pPr>
      <w:r>
        <w:rPr>
          <w:b/>
        </w:rPr>
        <w:t>ePrivacy Directive (2002/58/EC)</w:t>
      </w:r>
      <w:r>
        <w:t xml:space="preserve"> — non-essential cookies require prior opt-in consent (see our Cookie Notice).</w:t>
      </w:r>
    </w:p>
    <w:p>
      <w:pPr>
        <w:pStyle w:val="ListBullet"/>
      </w:pPr>
      <w:r>
        <w:rPr>
          <w:b/>
        </w:rPr>
        <w:t>Consumer Rights Directive (2011/83/EU)</w:t>
      </w:r>
      <w:r>
        <w:t xml:space="preserve"> — 14-day right of withdrawal on distance sales of goods and most digital services. Fully-performed digital content with prior consent may lose that right.</w:t>
      </w:r>
    </w:p>
    <w:p>
      <w:pPr>
        <w:pStyle w:val="ListBullet"/>
      </w:pPr>
      <w:r>
        <w:rPr>
          <w:b/>
        </w:rPr>
        <w:t>Digital Services Act (Reg. 2022/2065)</w:t>
      </w:r>
      <w:r>
        <w:t xml:space="preserve"> — community features (posts, DMs, disputes) fall in scope. Single point of contact: eu-contact@birthright.live.</w:t>
      </w:r>
    </w:p>
    <w:p>
      <w:pPr>
        <w:pStyle w:val="ListBullet"/>
      </w:pPr>
      <w:r>
        <w:rPr>
          <w:b/>
        </w:rPr>
        <w:t>Cross-border transfers</w:t>
      </w:r>
      <w:r>
        <w:t xml:space="preserve"> — EU SCCs (2021/914) + UK IDTA with a transfer-impact assessment per sub-processor.</w:t>
      </w:r>
    </w:p>
    <w:p>
      <w:pPr>
        <w:pStyle w:val="ListBullet"/>
      </w:pPr>
      <w:r>
        <w:rPr>
          <w:b/>
        </w:rPr>
        <w:t>DSAR window</w:t>
      </w:r>
      <w:r>
        <w:t xml:space="preserve"> — 30 days (extendable to 90) at privacy@birthright.live.</w:t>
      </w:r>
    </w:p>
    <w:p>
      <w:pPr>
        <w:pStyle w:val="ListBullet"/>
      </w:pPr>
      <w:r>
        <w:rPr>
          <w:b/>
        </w:rPr>
        <w:t>Supervisory authority</w:t>
      </w:r>
      <w:r>
        <w:t xml:space="preserve"> — EU: your national DPA (</w:t>
      </w:r>
      <w:hyperlink r:id="rId9">
        <w:r>
          <w:rPr>
            <w:color w:val="0563C1"/>
            <w:u w:val="single"/>
          </w:rPr>
          <w:t xml:space="preserve">https://edpb.europa.eu</w:t>
        </w:r>
      </w:hyperlink>
      <w:r>
        <w:t>). UK: ICO (</w:t>
      </w:r>
      <w:hyperlink r:id="rId10">
        <w:r>
          <w:rPr>
            <w:color w:val="0563C1"/>
            <w:u w:val="single"/>
          </w:rPr>
          <w:t xml:space="preserve">https://ico.org.uk</w:t>
        </w:r>
      </w:hyperlink>
      <w:r>
        <w:t>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dpb.europa.eu" TargetMode="External"/><Relationship Id="rId10" Type="http://schemas.openxmlformats.org/officeDocument/2006/relationships/hyperlink" Target="https://ico.org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