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288"/>
      </w:pPr>
      <w:r>
        <w:rPr>
          <w:i/>
          <w:color w:val="7C5316"/>
        </w:rPr>
        <w:t>**FIRST DRAFT — PENDING COUNSEL RATIFICATION**</w:t>
      </w:r>
    </w:p>
    <w:p>
      <w:r>
        <w:t>&gt;</w:t>
      </w:r>
    </w:p>
    <w:p>
      <w:pPr>
        <w:ind w:left="288"/>
      </w:pPr>
      <w:r>
        <w:rPr>
          <w:i/>
          <w:color w:val="7C5316"/>
        </w:rPr>
        <w:t>This document is a first draft prepared for outside counsel review.</w:t>
      </w:r>
    </w:p>
    <w:p>
      <w:pPr>
        <w:ind w:left="288"/>
      </w:pPr>
      <w:r>
        <w:rPr>
          <w:i/>
          <w:color w:val="7C5316"/>
        </w:rPr>
        <w:t>It uses accepted standard language for its type and is intended to</w:t>
      </w:r>
    </w:p>
    <w:p>
      <w:pPr>
        <w:ind w:left="288"/>
      </w:pPr>
      <w:r>
        <w:rPr>
          <w:i/>
          <w:color w:val="7C5316"/>
        </w:rPr>
        <w:t>be published in this form after ratification. Until counsel signs</w:t>
      </w:r>
    </w:p>
    <w:p>
      <w:pPr>
        <w:ind w:left="288"/>
      </w:pPr>
      <w:r>
        <w:rPr>
          <w:i/>
          <w:color w:val="7C5316"/>
        </w:rPr>
        <w:t>off, treat any specific figure, warranty, or jurisdictional choice</w:t>
      </w:r>
    </w:p>
    <w:p>
      <w:pPr>
        <w:ind w:left="288"/>
      </w:pPr>
      <w:r>
        <w:rPr>
          <w:i/>
          <w:color w:val="7C5316"/>
        </w:rPr>
        <w:t>as tentative.</w:t>
      </w:r>
    </w:p>
    <w:p>
      <w:r>
        <w:t>&gt;</w:t>
      </w:r>
    </w:p>
    <w:p>
      <w:pPr>
        <w:ind w:left="288"/>
      </w:pPr>
      <w:r>
        <w:rPr>
          <w:i/>
          <w:color w:val="7C5316"/>
        </w:rPr>
        <w:t>Version: February 2026 · Birthright Foundation (birthright.live) ·</w:t>
      </w:r>
    </w:p>
    <w:p>
      <w:pPr>
        <w:ind w:left="288"/>
      </w:pPr>
      <w:r>
        <w:rPr>
          <w:i/>
          <w:color w:val="7C5316"/>
        </w:rPr>
        <w:t>Executive Director: Amanda Reagan · Contact: legal@birthright.live</w:t>
      </w:r>
    </w:p>
    <w:p>
      <w:pPr>
        <w:pStyle w:val="Heading1"/>
      </w:pPr>
      <w:r>
        <w:t>AI-Generated Content Policy</w:t>
      </w:r>
    </w:p>
    <w:p>
      <w:r>
        <w:rPr>
          <w:b/>
        </w:rPr>
        <w:t>Effective date:</w:t>
      </w:r>
      <w:r>
        <w:t xml:space="preserve"> on ratification. </w:t>
      </w:r>
      <w:r>
        <w:rPr>
          <w:b/>
        </w:rPr>
        <w:t>Applies to:</w:t>
      </w:r>
      <w:r>
        <w:t xml:space="preserve"> Birthright Foundation staff, contractors, facilitators, artist partners, vendor partners, and any member of the public whose contribution is published on </w:t>
      </w:r>
      <w:r>
        <w:rPr>
          <w:rFonts w:ascii="Consolas" w:hAnsi="Consolas"/>
          <w:sz w:val="20"/>
        </w:rPr>
        <w:t>birthright.live</w:t>
      </w:r>
      <w:r>
        <w:t xml:space="preserve">. Contact: </w:t>
      </w:r>
      <w:r>
        <w:rPr>
          <w:rFonts w:ascii="Consolas" w:hAnsi="Consolas"/>
          <w:sz w:val="20"/>
        </w:rPr>
        <w:t>ai-policy@birthright.live</w:t>
      </w:r>
      <w:r>
        <w:t>.</w:t>
      </w:r>
    </w:p>
    <w:p>
      <w:r>
        <w:t>This policy governs how Birthright uses generative artificial intelligence (collectively, "AI Tools") in producing content that appears on the site, in workshop materials, in email, and in downstream partner communications. It is designed to align with the EU AI Act (Reg. 2024/1689) transparency regime, US FTC guidance on AI-generated endorsements, and the reasonable expectations of members that human authorship is not being misrepresented.</w:t>
      </w:r>
    </w:p>
    <w:p>
      <w:pPr>
        <w:pStyle w:val="Heading2"/>
      </w:pPr>
      <w:r>
        <w:t>1. Definitions</w:t>
      </w:r>
    </w:p>
    <w:p>
      <w:pPr>
        <w:pStyle w:val="ListBullet"/>
      </w:pPr>
      <w:r>
        <w:rPr>
          <w:b/>
        </w:rPr>
        <w:t>AI Tool.</w:t>
      </w:r>
      <w:r>
        <w:t xml:space="preserve"> Any large-language-model, diffusion-based image model, text-to-audio, text-to-video, or generative-code tool operated by Birthright or by a Birthright sub-processor (Anthropic Claude, OpenAI, Google Gemini, ElevenLabs, and successors).</w:t>
      </w:r>
    </w:p>
    <w:p>
      <w:pPr>
        <w:pStyle w:val="ListBullet"/>
      </w:pPr>
      <w:r>
        <w:rPr>
          <w:b/>
        </w:rPr>
        <w:t>AI-Assisted.</w:t>
      </w:r>
      <w:r>
        <w:t xml:space="preserve"> Human-authored content edited, expanded, translated, summarised, or fact-checked by an AI Tool where a human retains editorial control.</w:t>
      </w:r>
    </w:p>
    <w:p>
      <w:pPr>
        <w:pStyle w:val="ListBullet"/>
      </w:pPr>
      <w:r>
        <w:rPr>
          <w:b/>
        </w:rPr>
        <w:t>AI-Generated.</w:t>
      </w:r>
      <w:r>
        <w:t xml:space="preserve"> Content produced primarily by an AI Tool with limited human editing after generation. Includes storefront product imagery, vision captions, help-assistant responses, and marketing copy drafts.</w:t>
      </w:r>
    </w:p>
    <w:p>
      <w:pPr>
        <w:pStyle w:val="ListBullet"/>
      </w:pPr>
      <w:r>
        <w:rPr>
          <w:b/>
        </w:rPr>
        <w:t>Human-Authored.</w:t>
      </w:r>
      <w:r>
        <w:t xml:space="preserve"> Content authored by a person without material AI assistance, or where AI use was limited to spell-check or grammar suggestions.</w:t>
      </w:r>
    </w:p>
    <w:p>
      <w:pPr>
        <w:pStyle w:val="Heading2"/>
      </w:pPr>
      <w:r>
        <w:t>2. Disclosure</w:t>
      </w:r>
    </w:p>
    <w:p>
      <w:pPr>
        <w:pStyle w:val="ListBullet"/>
      </w:pPr>
      <w:r>
        <w:rPr>
          <w:b/>
        </w:rPr>
        <w:t>On-page label.</w:t>
      </w:r>
      <w:r>
        <w:t xml:space="preserve"> Every published surface that is materially AI-Generated carries a visible label (footer, image caption, or byline) identifying it as such. AI-Assisted content is not labelled unless a reader would be misled without it.</w:t>
      </w:r>
    </w:p>
    <w:p>
      <w:pPr>
        <w:pStyle w:val="ListBullet"/>
      </w:pPr>
      <w:r>
        <w:rPr>
          <w:b/>
        </w:rPr>
        <w:t>Help Assistant.</w:t>
      </w:r>
      <w:r>
        <w:t xml:space="preserve"> Every response from the Birthright Help Assistant is presented under an "AI · Help Assistant" heading with a link to this policy.</w:t>
      </w:r>
    </w:p>
    <w:p>
      <w:pPr>
        <w:pStyle w:val="ListBullet"/>
      </w:pPr>
      <w:r>
        <w:rPr>
          <w:b/>
        </w:rPr>
        <w:t>Facilitator persona bios.</w:t>
      </w:r>
      <w:r>
        <w:t xml:space="preserve"> AI-generated portrait imagery of Birthright facilitators or the Executive Director is labelled "AI portrait" in the alt text and in the visible caption.</w:t>
      </w:r>
    </w:p>
    <w:p>
      <w:pPr>
        <w:pStyle w:val="ListBullet"/>
      </w:pPr>
      <w:r>
        <w:rPr>
          <w:b/>
        </w:rPr>
        <w:t>Community posts.</w:t>
      </w:r>
      <w:r>
        <w:t xml:space="preserve"> Members who post materially AI-Generated content in community threads must disclose that in the post; falsification is a violation of the Community Standards Policy.</w:t>
      </w:r>
    </w:p>
    <w:p>
      <w:pPr>
        <w:pStyle w:val="Heading2"/>
      </w:pPr>
      <w:r>
        <w:t>3. Prohibited Uses</w:t>
      </w:r>
    </w:p>
    <w:p>
      <w:r>
        <w:t>Birthright and its partners shall not use AI Tools to:</w:t>
      </w:r>
    </w:p>
    <w:p>
      <w:pPr>
        <w:pStyle w:val="ListBullet"/>
      </w:pPr>
      <w:r>
        <w:t>Impersonate a real person, past or present, in a way that could reasonably be mistaken for that person.</w:t>
      </w:r>
    </w:p>
    <w:p>
      <w:pPr>
        <w:pStyle w:val="ListBullet"/>
      </w:pPr>
      <w:r>
        <w:t>Fabricate testimonials, endorsements, reviews, or first-person stories attributed to a real or invented member.</w:t>
      </w:r>
    </w:p>
    <w:p>
      <w:pPr>
        <w:pStyle w:val="ListBullet"/>
      </w:pPr>
      <w:r>
        <w:t>Generate content depicting minors in any private, medical, or intimate context.</w:t>
      </w:r>
    </w:p>
    <w:p>
      <w:pPr>
        <w:pStyle w:val="ListBullet"/>
      </w:pPr>
      <w:r>
        <w:t>Produce clinical or therapeutic advice that could be mistaken for guidance from a licensed practitioner.</w:t>
      </w:r>
    </w:p>
    <w:p>
      <w:pPr>
        <w:pStyle w:val="ListBullet"/>
      </w:pPr>
      <w:r>
        <w:t>Generate content that infringes third-party copyright, trademark, or personality rights.</w:t>
      </w:r>
    </w:p>
    <w:p>
      <w:pPr>
        <w:pStyle w:val="Heading2"/>
      </w:pPr>
      <w:r>
        <w:t>4. Data Handling &amp; Training</w:t>
      </w:r>
    </w:p>
    <w:p>
      <w:pPr>
        <w:pStyle w:val="ListBullet"/>
      </w:pPr>
      <w:r>
        <w:rPr>
          <w:b/>
        </w:rPr>
        <w:t>Member data in prompts.</w:t>
      </w:r>
      <w:r>
        <w:t xml:space="preserve"> Birthright does not include personally identifiable member data in prompts to third-party AI Tools unless the member has explicitly consented and a sub-processor DPA is in place.</w:t>
      </w:r>
    </w:p>
    <w:p>
      <w:pPr>
        <w:pStyle w:val="ListBullet"/>
      </w:pPr>
      <w:r>
        <w:rPr>
          <w:b/>
        </w:rPr>
        <w:t>Opt-out of training.</w:t>
      </w:r>
      <w:r>
        <w:t xml:space="preserve"> Where a sub-processor offers an opt-out from using Birthright prompts for future model training, Birthright takes that opt-out by default.</w:t>
      </w:r>
    </w:p>
    <w:p>
      <w:pPr>
        <w:pStyle w:val="ListBullet"/>
      </w:pPr>
      <w:r>
        <w:rPr>
          <w:b/>
        </w:rPr>
        <w:t>Prompt retention.</w:t>
      </w:r>
      <w:r>
        <w:t xml:space="preserve"> Prompts and responses are retained in an audit log for troubleshooting and safety review for a maximum of ninety (90) days, after which they are deleted.</w:t>
      </w:r>
    </w:p>
    <w:p>
      <w:pPr>
        <w:pStyle w:val="Heading2"/>
      </w:pPr>
      <w:r>
        <w:t>5. Human Review</w:t>
      </w:r>
    </w:p>
    <w:p>
      <w:pPr>
        <w:pStyle w:val="ListBullet"/>
      </w:pPr>
      <w:r>
        <w:rPr>
          <w:b/>
        </w:rPr>
        <w:t>Public surfaces.</w:t>
      </w:r>
      <w:r>
        <w:t xml:space="preserve"> Every AI-Generated public surface is reviewed by a human before publication.</w:t>
      </w:r>
    </w:p>
    <w:p>
      <w:pPr>
        <w:pStyle w:val="ListBullet"/>
      </w:pPr>
      <w:r>
        <w:rPr>
          <w:b/>
        </w:rPr>
        <w:t>Help Assistant safety layer.</w:t>
      </w:r>
      <w:r>
        <w:t xml:space="preserve"> The Help Assistant is configured with a safety-topic list (self-harm, medical emergency, legal advice, child safeguarding). When a member's prompt matches a listed topic, the assistant refers the member to a human or to a linked resource instead of answering with a generative response.</w:t>
      </w:r>
    </w:p>
    <w:p>
      <w:pPr>
        <w:pStyle w:val="ListBullet"/>
      </w:pPr>
      <w:r>
        <w:rPr>
          <w:b/>
        </w:rPr>
        <w:t>Escalation.</w:t>
      </w:r>
      <w:r>
        <w:t xml:space="preserve"> Any AI-Generated response that a member flags via the "Report this response" control is reviewed by a Birthright reviewer within two (2) business days.</w:t>
      </w:r>
    </w:p>
    <w:p>
      <w:pPr>
        <w:pStyle w:val="Heading2"/>
      </w:pPr>
      <w:r>
        <w:t>6. Rights &amp; Ownership</w:t>
      </w:r>
    </w:p>
    <w:p>
      <w:pPr>
        <w:pStyle w:val="ListBullet"/>
      </w:pPr>
      <w:r>
        <w:rPr>
          <w:b/>
        </w:rPr>
        <w:t>AI-Generated output.</w:t>
      </w:r>
      <w:r>
        <w:t xml:space="preserve"> Copyright status of AI-generated output is jurisdiction-dependent; Birthright does not claim exclusive copyright in output produced solely by an AI Tool. Birthright does claim copyright in the human-authored selection, arrangement, and captioning of that output where those steps meet the originality threshold.</w:t>
      </w:r>
    </w:p>
    <w:p>
      <w:pPr>
        <w:pStyle w:val="ListBullet"/>
      </w:pPr>
      <w:r>
        <w:rPr>
          <w:b/>
        </w:rPr>
        <w:t>Third-party AI Tool TOS.</w:t>
      </w:r>
      <w:r>
        <w:t xml:space="preserve"> All AI use is subject to the operating terms of the underlying tool (Emergent LLM Key umbrella TOS, and any successor terms). Nothing in this policy overrides a sub-processor's own use restrictions.</w:t>
      </w:r>
    </w:p>
    <w:p>
      <w:pPr>
        <w:pStyle w:val="Heading2"/>
      </w:pPr>
      <w:r>
        <w:t>7. Changes</w:t>
      </w:r>
    </w:p>
    <w:p>
      <w:r>
        <w:t xml:space="preserve">Birthright may update this policy from time to time; material updates will be signalled with a version bump and a </w:t>
      </w:r>
      <w:hyperlink r:id="rId9">
        <w:r>
          <w:rPr>
            <w:color w:val="0563C1"/>
            <w:u w:val="single"/>
          </w:rPr>
          <w:t xml:space="preserve">/legal/history</w:t>
        </w:r>
      </w:hyperlink>
      <w:r>
        <w:t xml:space="preserve"> entry.</w:t>
      </w:r>
    </w:p>
    <w:p>
      <w:pPr>
        <w:pStyle w:val="Heading2"/>
      </w:pPr>
      <w:r>
        <w:t>8. Contact</w:t>
      </w:r>
    </w:p>
    <w:p>
      <w:r>
        <w:t xml:space="preserve">Questions and concerns: </w:t>
      </w:r>
      <w:r>
        <w:rPr>
          <w:rFonts w:ascii="Consolas" w:hAnsi="Consolas"/>
          <w:sz w:val="20"/>
        </w:rPr>
        <w:t>ai-policy@birthright.live</w:t>
      </w:r>
      <w:r>
        <w:t xml:space="preserve">. Public reports of policy violations may also be filed through the Ombudsman at </w:t>
      </w:r>
      <w:r>
        <w:rPr>
          <w:rFonts w:ascii="Consolas" w:hAnsi="Consolas"/>
          <w:sz w:val="20"/>
        </w:rPr>
        <w:t>ombudsman@birthright.live</w:t>
      </w:r>
      <w:r>
        <w:t>.</w:t>
      </w:r>
    </w:p>
    <w:p/>
    <w:p>
      <w:r>
        <w:t>*First draft — pending counsel ratification. Comments to legal@birthright.live.*</w:t>
      </w:r>
    </w:p>
    <w:p/>
    <w:p>
      <w:pPr>
        <w:pStyle w:val="Heading2"/>
      </w:pPr>
      <w:r>
        <w:t>EU / UK Compliance Addendum</w:t>
      </w:r>
    </w:p>
    <w:p>
      <w:r>
        <w:t>This document was drafted with EU / UK regulatory alignment in mind. Where this document conflicts with mandatory rights of an EU or UK resident, the mandatory local rules prevail. In particular:</w:t>
      </w:r>
    </w:p>
    <w:p>
      <w:pPr>
        <w:pStyle w:val="ListBullet"/>
      </w:pPr>
      <w:r>
        <w:rPr>
          <w:b/>
        </w:rPr>
        <w:t>GDPR (EU) 2016/679 and UK GDPR</w:t>
      </w:r>
      <w:r>
        <w:t xml:space="preserve"> apply to processing of personal data of individuals in the EEA and UK. Where Birthright is the controller, the lawful bases relied on are: (i) contract necessity, (ii) legitimate interests (balanced by opt-out), (iii) consent (marketing and non-essential cookies), and (iv) legal obligation.</w:t>
      </w:r>
    </w:p>
    <w:p>
      <w:pPr>
        <w:pStyle w:val="ListBullet"/>
      </w:pPr>
      <w:r>
        <w:rPr>
          <w:b/>
        </w:rPr>
        <w:t>ePrivacy Directive (2002/58/EC as amended)</w:t>
      </w:r>
      <w:r>
        <w:t xml:space="preserve"> applies to cookies and similar tracking. Non-essential cookies require prior opt-in consent.</w:t>
      </w:r>
    </w:p>
    <w:p>
      <w:pPr>
        <w:pStyle w:val="ListBullet"/>
      </w:pPr>
      <w:r>
        <w:rPr>
          <w:b/>
        </w:rPr>
        <w:t>EU Consumer Rights Directive (2011/83/EU)</w:t>
      </w:r>
      <w:r>
        <w:t xml:space="preserve"> — EU/UK consumers have a 14-day right of withdrawal on distance sales of goods and most digital services. Where a workshop or digital product has been fully performed with the consumer's prior consent, the right may be lost.</w:t>
      </w:r>
    </w:p>
    <w:p>
      <w:pPr>
        <w:pStyle w:val="ListBullet"/>
      </w:pPr>
      <w:r>
        <w:rPr>
          <w:b/>
        </w:rPr>
        <w:t>Digital Services Act (Regulation 2022/2065)</w:t>
      </w:r>
      <w:r>
        <w:t xml:space="preserve"> applies to online intermediaries offering services in the EU; Birthright's community features (posts, DMs, disputes) fall within scope. A single point of contact is designated at eu-contact@birthright.live.</w:t>
      </w:r>
    </w:p>
    <w:p>
      <w:pPr>
        <w:pStyle w:val="ListBullet"/>
      </w:pPr>
      <w:r>
        <w:rPr>
          <w:b/>
        </w:rPr>
        <w:t>EU AI Act (Regulation 2024/1689)</w:t>
      </w:r>
      <w:r>
        <w:t xml:space="preserve"> applies to providers and deployers of AI systems affecting EU users. Birthright's AI features (Help Assistant, image generation, image captioning) are labeled as AI-assisted and are not used for automated decisions with legal effect.</w:t>
      </w:r>
    </w:p>
    <w:p>
      <w:pPr>
        <w:pStyle w:val="ListBullet"/>
      </w:pPr>
      <w:r>
        <w:rPr>
          <w:b/>
        </w:rPr>
        <w:t>Data transfers out of the EEA/UK/CH</w:t>
      </w:r>
      <w:r>
        <w:t xml:space="preserve"> rely on the EU Standard Contractual Clauses (2021/914) and the UK International Data Transfer Addendum, with a transfer-impact assessment on file for each sub-processor.</w:t>
      </w:r>
    </w:p>
    <w:p>
      <w:pPr>
        <w:pStyle w:val="ListBullet"/>
      </w:pPr>
      <w:r>
        <w:rPr>
          <w:b/>
        </w:rPr>
        <w:t>Data Protection Officer (DPO)</w:t>
      </w:r>
      <w:r>
        <w:t xml:space="preserve"> — Birthright will designate a DPO once threshold criteria under GDPR Art. 37 are met. Contact: dpo@birthright.live.</w:t>
      </w:r>
    </w:p>
    <w:p>
      <w:pPr>
        <w:pStyle w:val="ListBullet"/>
      </w:pPr>
      <w:r>
        <w:rPr>
          <w:b/>
        </w:rPr>
        <w:t>DSAR window</w:t>
      </w:r>
      <w:r>
        <w:t xml:space="preserve"> — subject access, rectification, erasure, portability, and objection requests are responded to within </w:t>
      </w:r>
      <w:r>
        <w:rPr>
          <w:b/>
        </w:rPr>
        <w:t>30 days</w:t>
      </w:r>
      <w:r>
        <w:t xml:space="preserve"> (extendable by 60 days for complex requests) at privacy@birthright.live.</w:t>
      </w:r>
    </w:p>
    <w:p>
      <w:pPr>
        <w:pStyle w:val="ListBullet"/>
      </w:pPr>
      <w:r>
        <w:rPr>
          <w:b/>
        </w:rPr>
        <w:t>Supervisory authority</w:t>
      </w:r>
      <w:r>
        <w:t xml:space="preserve"> — EU/UK residents may lodge a complaint with their local supervisory authority; a list is available at </w:t>
      </w:r>
      <w:hyperlink r:id="rId10">
        <w:r>
          <w:rPr>
            <w:color w:val="0563C1"/>
            <w:u w:val="single"/>
          </w:rPr>
          <w:t xml:space="preserve">https://edpb.europa.eu/about-edpb/about-edpb/members_en</w:t>
        </w:r>
      </w:hyperlink>
      <w:r>
        <w:t xml:space="preserve"> (EU) and </w:t>
      </w:r>
      <w:hyperlink r:id="rId11">
        <w:r>
          <w:rPr>
            <w:color w:val="0563C1"/>
            <w:u w:val="single"/>
          </w:rPr>
          <w:t xml:space="preserve">https://ico.org.uk</w:t>
        </w:r>
      </w:hyperlink>
      <w:r>
        <w:t xml:space="preserve"> (UK).</w:t>
      </w:r>
    </w:p>
    <w:p>
      <w:pPr>
        <w:pStyle w:val="ListBullet"/>
      </w:pPr>
      <w:r>
        <w:rPr>
          <w:b/>
        </w:rPr>
        <w:t>VAT</w:t>
      </w:r>
      <w:r>
        <w:t xml:space="preserve"> — Where Birthright's EU B2C digital-service or goods sales cross applicable thresholds, VAT registration (One-Stop-Shop or country-by-country) will be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rthright.live/legal/history" TargetMode="External"/><Relationship Id="rId10" Type="http://schemas.openxmlformats.org/officeDocument/2006/relationships/hyperlink" Target="https://edpb.europa.eu/about-edpb/about-edpb/members_en" TargetMode="External"/><Relationship Id="rId11" Type="http://schemas.openxmlformats.org/officeDocument/2006/relationships/hyperlink" Target="https://ico.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