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320"/>
      </w:pPr>
      <w:r>
        <w:rPr>
          <w:rFonts w:ascii="SimSun" w:cs="SimSun" w:eastAsia="SimSun" w:hAnsi="SimSun"/>
          <w:b/>
          <w:bCs/>
          <w:i w:val="false"/>
          <w:iCs w:val="false"/>
          <w:color w:val="1F4E79"/>
          <w:sz w:val="32"/>
          <w:szCs w:val="32"/>
        </w:rPr>
        <w:t xml:space="preserve">IDTS 数字孪生系统建设方案</w:t>
      </w:r>
    </w:p>
    <w:p>
      <w:pPr>
        <w:spacing w:after="80" w:before="80" w:line="300"/>
        <w:jc w:val="left"/>
      </w:pPr>
      <w:r>
        <w:rPr>
          <w:rFonts w:ascii="SimSun" w:cs="SimSun" w:eastAsia="SimSun" w:hAnsi="SimSun"/>
          <w:b w:val="false"/>
          <w:bCs w:val="false"/>
          <w:i w:val="false"/>
          <w:iCs w:val="false"/>
          <w:color w:val="000000"/>
          <w:sz w:val="22"/>
          <w:szCs w:val="22"/>
        </w:rPr>
        <w:t xml:space="preserve">需求补充版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项目</w:t>
            </w:r>
          </w:p>
        </w:tc>
        <w:tc>
          <w:tcPr>
            <w:tcW w:type="dxa" w:w="4513"/>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内容</w:t>
            </w:r>
          </w:p>
        </w:tc>
      </w:tr>
      <w:tr>
        <w:trPr>
          <w:tblHeader w:val="false"/>
        </w:trPr>
        <w:tc>
          <w:tcPr>
            <w:tcW w:type="dxa" w:w="4513"/>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文档版本</w:t>
            </w:r>
          </w:p>
        </w:tc>
        <w:tc>
          <w:tcPr>
            <w:tcW w:type="dxa" w:w="4513"/>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v1.0</w:t>
            </w:r>
          </w:p>
        </w:tc>
      </w:tr>
      <w:tr>
        <w:trPr>
          <w:tblHeader w:val="false"/>
        </w:trPr>
        <w:tc>
          <w:tcPr>
            <w:tcW w:type="dxa" w:w="4513"/>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修订日期</w:t>
            </w:r>
          </w:p>
        </w:tc>
        <w:tc>
          <w:tcPr>
            <w:tcW w:type="dxa" w:w="4513"/>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2026-07-08</w:t>
            </w:r>
          </w:p>
        </w:tc>
      </w:tr>
      <w:tr>
        <w:trPr>
          <w:tblHeader w:val="false"/>
        </w:trPr>
        <w:tc>
          <w:tcPr>
            <w:tcW w:type="dxa" w:w="4513"/>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文档定位</w:t>
            </w:r>
          </w:p>
        </w:tc>
        <w:tc>
          <w:tcPr>
            <w:tcW w:type="dxa" w:w="4513"/>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完整项目方案说明，不作为 MVP 开发任务书</w:t>
            </w:r>
          </w:p>
        </w:tc>
      </w:tr>
      <w:tr>
        <w:trPr>
          <w:tblHeader w:val="false"/>
        </w:trPr>
        <w:tc>
          <w:tcPr>
            <w:tcW w:type="dxa" w:w="4513"/>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适用对象</w:t>
            </w:r>
          </w:p>
        </w:tc>
        <w:tc>
          <w:tcPr>
            <w:tcW w:type="dxa" w:w="4513"/>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甲方、项目评审人员、技术负责人、实施团队</w:t>
            </w:r>
          </w:p>
        </w:tc>
      </w:tr>
      <w:tr>
        <w:trPr>
          <w:tblHeader w:val="false"/>
        </w:trPr>
        <w:tc>
          <w:tcPr>
            <w:tcW w:type="dxa" w:w="4513"/>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输出范围</w:t>
            </w:r>
          </w:p>
        </w:tc>
        <w:tc>
          <w:tcPr>
            <w:tcW w:type="dxa" w:w="4513"/>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仅生成方案文档和 Markdown 草稿，不修改前端源码，不创建后端项目</w:t>
            </w:r>
          </w:p>
        </w:tc>
      </w:tr>
    </w:tbl>
    <w:p>
      <w:pPr>
        <w:pStyle w:val="Heading1"/>
        <w:spacing w:after="140" w:before="320"/>
      </w:pPr>
      <w:r>
        <w:rPr>
          <w:rFonts w:ascii="SimSun" w:cs="SimSun" w:eastAsia="SimSun" w:hAnsi="SimSun"/>
          <w:b/>
          <w:bCs/>
          <w:i w:val="false"/>
          <w:iCs w:val="false"/>
          <w:color w:val="1F4E79"/>
          <w:sz w:val="32"/>
          <w:szCs w:val="32"/>
        </w:rPr>
        <w:t xml:space="preserve">0. 资料读取与范围声明</w:t>
      </w:r>
    </w:p>
    <w:p>
      <w:pPr>
        <w:spacing w:after="80" w:before="80" w:line="300"/>
        <w:jc w:val="left"/>
      </w:pPr>
      <w:r>
        <w:rPr>
          <w:rFonts w:ascii="SimSun" w:cs="SimSun" w:eastAsia="SimSun" w:hAnsi="SimSun"/>
          <w:b w:val="false"/>
          <w:bCs w:val="false"/>
          <w:i w:val="false"/>
          <w:iCs w:val="false"/>
          <w:color w:val="000000"/>
          <w:sz w:val="22"/>
          <w:szCs w:val="22"/>
        </w:rPr>
        <w:t xml:space="preserve">本方案基于当前 idts3ddemo 仓库、正式项目总体技术方案 v1.2、需求补充说明 v0.2、截图压缩包以及已提供的任务说明整理。当前仓库定位为独立 WebGL / Three.js 技术预研 Demo，不属于 HZ.IDTS.UI 或 HZ.IDTS.API；本次工作仅生成文档，不修改任何源码，不接入真实后端、数据库、登录或权限系统。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资料类别</w:t>
            </w:r>
          </w:p>
        </w:tc>
        <w:tc>
          <w:tcPr>
            <w:tcW w:type="dxa" w:w="3008"/>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读取结果</w:t>
            </w:r>
          </w:p>
        </w:tc>
        <w:tc>
          <w:tcPr>
            <w:tcW w:type="dxa" w:w="3010"/>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使用方式</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总体技术方案</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已读取 docs/idts-digital-twin-project-technical-plan.md</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作为正式技术路线、架构边界、MVP 与后续阶段划分依据</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MVP 拆分文档</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docs/idts-mvp-task-breakdown.md 当前仓库不存在</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未引用该文件具体内容；改用 docs/mvp-tasks/README.md 与总体技术方案中的 MVP 边界</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MVP 任务索引</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已读取 docs/mvp-tasks/README.md</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仅用于理解一期边界，不执行任何开发任务</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需求补充说明</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已读取 docs/idts-requirement-supplement-business-simulation-wcs-cad-glb-v0.2.md</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作为业务需求、WCS 对接、CAD/GLB 渲染、仿真和性能指标主输入</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截图材料</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已读取 idts-requirement-supplement-v0.2-with-screenshots.zip 及 12 张 PNG 截图</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作为截图需求校验与 Word 附录来源</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当前仓库规则</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已读取 AGENTS.md 与项目维护规则</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确认本次不修改源码、不新增依赖、不创建后端项目，并保持 UTF-8 输出</w:t>
            </w:r>
          </w:p>
        </w:tc>
      </w:tr>
    </w:tbl>
    <w:p>
      <w:pPr>
        <w:spacing w:after="80" w:before="80" w:line="300"/>
        <w:jc w:val="left"/>
      </w:pPr>
      <w:r>
        <w:rPr>
          <w:rFonts w:ascii="SimSun" w:cs="SimSun" w:eastAsia="SimSun" w:hAnsi="SimSun"/>
          <w:b w:val="false"/>
          <w:bCs w:val="false"/>
          <w:i w:val="false"/>
          <w:iCs w:val="false"/>
          <w:color w:val="000000"/>
          <w:sz w:val="22"/>
          <w:szCs w:val="22"/>
        </w:rPr>
        <w:t xml:space="preserve">本方案不宣称当前 Demo 已完成正式项目能力。对于尚未实现或需上游系统配合的内容，统一使用“建议”“后续阶段”“需甲方提供接口或数据”等方式描述。</w:t>
      </w:r>
    </w:p>
    <w:p>
      <w:pPr>
        <w:pStyle w:val="Heading1"/>
        <w:spacing w:after="140" w:before="320"/>
      </w:pPr>
      <w:r>
        <w:rPr>
          <w:rFonts w:ascii="SimSun" w:cs="SimSun" w:eastAsia="SimSun" w:hAnsi="SimSun"/>
          <w:b/>
          <w:bCs/>
          <w:i w:val="false"/>
          <w:iCs w:val="false"/>
          <w:color w:val="1F4E79"/>
          <w:sz w:val="32"/>
          <w:szCs w:val="32"/>
        </w:rPr>
        <w:t xml:space="preserve">1. 项目背景与建设目标</w:t>
      </w:r>
    </w:p>
    <w:p>
      <w:pPr>
        <w:spacing w:after="80" w:before="80" w:line="300"/>
        <w:jc w:val="left"/>
      </w:pPr>
      <w:r>
        <w:rPr>
          <w:rFonts w:ascii="SimSun" w:cs="SimSun" w:eastAsia="SimSun" w:hAnsi="SimSun"/>
          <w:b w:val="false"/>
          <w:bCs w:val="false"/>
          <w:i w:val="false"/>
          <w:iCs w:val="false"/>
          <w:color w:val="000000"/>
          <w:sz w:val="22"/>
          <w:szCs w:val="22"/>
        </w:rPr>
        <w:t xml:space="preserve">IDTS 数字孪生系统拟从当前 WebGL / Three.js 技术预研 Demo 升级为正式工业数字孪生平台，服务于智能仓储、自动化物流和厂区级三维监控场景。系统目标不是单纯展示三维模型，而是围绕厂区空间、业务设备、库存货位、任务流程、告警事件和上游业务数据建立可视化、可追踪、可扩展的数字孪生系统。</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实现厂区、建筑、楼层、区域、货架、地堆和输送线等空间对象的三维可视化。</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实现 AGV、堆垛机、提升机、输送线关键段等业务设备的 GLB 渲染、对象选择和状态映射。</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通过 WCS 或现场系统提供的状态、坐标、任务和告警数据驱动模型变化。</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支持 AGV、堆垛机、提升机和输送线的运行过程、任务流程和异常状态可视化。</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支持货位、物资、托盘、任务、告警、报表、大屏和权限等业务联动展示。</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为后续 WMS、MES、ERP 集成、报表统计和生产化治理预留清晰边界。</w:t>
      </w:r>
    </w:p>
    <w:p>
      <w:pPr>
        <w:spacing w:after="80" w:before="80" w:line="300"/>
        <w:jc w:val="left"/>
      </w:pPr>
      <w:r>
        <w:rPr>
          <w:rFonts w:ascii="SimSun" w:cs="SimSun" w:eastAsia="SimSun" w:hAnsi="SimSun"/>
          <w:b w:val="false"/>
          <w:bCs w:val="false"/>
          <w:i w:val="false"/>
          <w:iCs w:val="false"/>
          <w:color w:val="000000"/>
          <w:sz w:val="22"/>
          <w:szCs w:val="22"/>
        </w:rPr>
        <w:t xml:space="preserve">项目建设应坚持分阶段落地：先完成模型资产与三维展示基础，再接入实时数据和任务过程，最后扩展报表、大屏、权限、远程控制和生产化运维能力。</w:t>
      </w:r>
    </w:p>
    <w:p>
      <w:pPr>
        <w:pStyle w:val="Heading1"/>
        <w:spacing w:after="140" w:before="320"/>
      </w:pPr>
      <w:r>
        <w:rPr>
          <w:rFonts w:ascii="SimSun" w:cs="SimSun" w:eastAsia="SimSun" w:hAnsi="SimSun"/>
          <w:b/>
          <w:bCs/>
          <w:i w:val="false"/>
          <w:iCs w:val="false"/>
          <w:color w:val="1F4E79"/>
          <w:sz w:val="32"/>
          <w:szCs w:val="32"/>
        </w:rPr>
        <w:t xml:space="preserve">2. 业务需求总览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模块</w:t>
            </w:r>
          </w:p>
        </w:tc>
        <w:tc>
          <w:tcPr>
            <w:tcW w:type="dxa" w:w="1805"/>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需求内容</w:t>
            </w:r>
          </w:p>
        </w:tc>
        <w:tc>
          <w:tcPr>
            <w:tcW w:type="dxa" w:w="1805"/>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数据来源</w:t>
            </w:r>
          </w:p>
        </w:tc>
        <w:tc>
          <w:tcPr>
            <w:tcW w:type="dxa" w:w="1805"/>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展示方式</w:t>
            </w:r>
          </w:p>
        </w:tc>
        <w:tc>
          <w:tcPr>
            <w:tcW w:type="dxa" w:w="1806"/>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备注</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场景建模</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按项目 CAD 所涉及区域建设厂区、楼栋、楼层、区域、货架、地堆和输送线布局。</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CAD / BIM / 规划资料、现场尺寸</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3D Tiles 或静态 GLB 场景底座</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需统一坐标系和版本管理</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CAD 建筑物渲染</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将 CAD 规划中的建筑、厂房、楼层和区域转换为 Web 可加载三维资产。</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甲方 CAD、IFC、STEP 或可用模型</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优先 3D Tiles 流式加载</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浏览器不直接承担复杂 CAD 转换</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GLB 设备模型渲染</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提升机、堆垛机、AGV、输送线关键段、机械手等设备使用 GLB。</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设备 GLB 或经工具链转换后的 GLB</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Three.js 设备层渲染、点击、高亮、对象树</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需保留关键 mesh / 可动部件命名</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AGV 路线展示</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展示 AGV 路线、轨迹、取货、卸货、搬运物料信息。</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WCS / AGV 系统 / 上游任务数据</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轨迹线、方向箭头、设备详情面板</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字段以接口协议为准</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AGV 运行仿真</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展示 AGV 坐标、速度、电量、任务状态、充电状态和故障。</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WCS / AGV 系统实时数据</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AGV 模型或图标随坐标移动</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路径结果、调度结果和冲突处理结果由第三方调度系统 / WCS / 上游系统提供，本系统负责展示</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堆垛机运行仿真</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展示 X/Y/Z 坐标、货叉动作、取放货、返回待机、异常报警。</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WCS / 堆垛机控制系统</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三维动画、轨迹线、告警高亮</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位置精度与同步频率需接口保障</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提升机运行仿真</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展示提升机状态、载货台高度、升降动作、任务和异常。</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WCS / PLC / 设备接口</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可动部件沿配置化运动轴变化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当前 Demo 的 worldZ 思路可作为运行过程呈现基础</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输送线运行仿真</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展示输送线段启停、运行、故障、堵塞和货物经过过程。</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WCS / 输送线控制系统</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线段状态颜色、货物动画、异常提示</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需补充线段编码和接驳点</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立体库和地堆货位展示</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展示库位空满、锁定、异常、托盘、SKU、数量、订单等信息。</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WMS / WCS / 库存接口</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货位颜色、点击详情、查询高亮</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货位状态依赖上游库存数据</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物资查询</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按托盘、物料编码、名称、规格型号进行模糊匹配和定位。</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WMS / ERP / 物资主数据</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搜索结果定位、三维高亮、详情面板</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需后端查询接口支撑</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警报管理</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监控故障、异常记录、处理状态、处理人员和历史告警。</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WCS / 设备系统 / 告警字典</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模型高亮、callout、弹窗、告警列表</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处理流程可后续扩展</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电视大屏互动</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展示 AGV、机械手、堆垛机、输送线、立体库、库位和托盘状态。</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综合运行数据与三维场景数据</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大屏视图、区域轮播、自动视角</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触摸能力取决于现场屏幕</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缩放 / 旋转 / 多视角操作</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支持缩放、旋转、拖拽、鸟瞰、设备特写、AGV 路径、设备跟随。</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前端交互配置、视角配置</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Three.js 相机与视图预设</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鼠标或触摸根据现场环境适配</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虚拟摄像头</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支持自定义视角、巡检路线、固定大屏视角和设备跟随视角。</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前端视角配置、业务区域配置</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预设视角、轮播、跟随模式</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如需真实摄像头联动需另行确认</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模型仿真</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通过业务数据驱动设备运动、任务过程、货物搬运和状态变化。</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WCS / WMS / MES / 历史数据</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实时模式和业务仿真模式</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本系统主要负责展示和仿真呈现</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WCS 实时数据对接</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接收设备状态、坐标、任务、告警、货物信息和时间戳。</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WCS WebAPI / WebSocket / SignalR / 轮询</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RuntimeStateAdapter 映射到 Three.js 场景</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实时推送可分阶段引入</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WMS / MES / ERP 对接</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接入库存、订单、生产计划、配送进度、效率、故障成本和报表数据。</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上游系统接口</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看板、报表、设备/货位详情</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数据由上游提供，本系统负责展示和联动</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报表统计</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货位利用率、堆垛机作业量、AGV 效率、故障统计、日报周报月报。</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上游统计数据或本系统汇总数据</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图表、导出、邮件推送</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邮件推送建议后续阶段</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权限与远程控制</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管理员、操作员、查看员权限；紧急停止、任务取消、手动调度。</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权限接口、控制接口、审计日志</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按权限展示功能、二次确认、操作记录</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远程控制建议后续增强并强化安全</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性能与稳定性</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设备更新≤2秒、操作≤1秒、16台堆垛机+120台AGV≥25fps、720小时/月稳定运行。</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现场硬件、网络、模型规模、接口性能</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性能监控、模型预算、发布门禁</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需现场实测确认验收口径</w:t>
            </w:r>
          </w:p>
        </w:tc>
      </w:tr>
    </w:tbl>
    <w:p>
      <w:pPr>
        <w:pStyle w:val="Heading1"/>
        <w:spacing w:after="140" w:before="320"/>
      </w:pPr>
      <w:r>
        <w:rPr>
          <w:rFonts w:ascii="SimSun" w:cs="SimSun" w:eastAsia="SimSun" w:hAnsi="SimSun"/>
          <w:b/>
          <w:bCs/>
          <w:i w:val="false"/>
          <w:iCs w:val="false"/>
          <w:color w:val="1F4E79"/>
          <w:sz w:val="32"/>
          <w:szCs w:val="32"/>
        </w:rPr>
        <w:t xml:space="preserve">3. 总体技术架构</w:t>
      </w:r>
    </w:p>
    <w:p>
      <w:pPr>
        <w:spacing w:after="80" w:before="80" w:line="300"/>
        <w:jc w:val="left"/>
      </w:pPr>
      <w:r>
        <w:rPr>
          <w:rFonts w:ascii="SimSun" w:cs="SimSun" w:eastAsia="SimSun" w:hAnsi="SimSun"/>
          <w:b w:val="false"/>
          <w:bCs w:val="false"/>
          <w:i w:val="false"/>
          <w:iCs w:val="false"/>
          <w:color w:val="000000"/>
          <w:sz w:val="22"/>
          <w:szCs w:val="22"/>
        </w:rPr>
        <w:t xml:space="preserve">推荐架构采用 Vue 3 + TypeScript + Three.js 作为前端三维与管理界面基础，采用 GLB 设备层承载动态业务设备，采用 3D Tiles 静态厂区层承载厂区、建筑、楼层、固定货架和地面等大体量静态对象。后端固定采用 ASP.NET Core Web API / .NET 8 / EF Core 8，并通过 Worker 资产处理服务、数据库、对象存储和接口适配层支撑正式项目落地。</w:t>
      </w:r>
    </w:p>
    <w:p>
      <w:pPr>
        <w:pBdr>
          <w:left w:val="single" w:color="D9EAF7" w:sz="6" w:space="4"/>
        </w:pBdr>
        <w:spacing w:after="40" w:before="40" w:line="260"/>
        <w:ind w:left="240"/>
      </w:pPr>
      <w:r>
        <w:rPr>
          <w:rFonts w:ascii="Consolas" w:cs="Consolas" w:eastAsia="Consolas" w:hAnsi="Consolas"/>
          <w:color w:val="333333"/>
          <w:sz w:val="18"/>
          <w:szCs w:val="18"/>
        </w:rPr>
        <w:t xml:space="preserve">浏览器客户端</w:t>
      </w:r>
    </w:p>
    <w:p>
      <w:pPr>
        <w:pBdr>
          <w:left w:val="single" w:color="D9EAF7" w:sz="6" w:space="4"/>
        </w:pBdr>
        <w:spacing w:after="40" w:before="40" w:line="260"/>
        <w:ind w:left="240"/>
      </w:pPr>
      <w:r>
        <w:rPr>
          <w:rFonts w:ascii="Consolas" w:cs="Consolas" w:eastAsia="Consolas" w:hAnsi="Consolas"/>
          <w:color w:val="333333"/>
          <w:sz w:val="18"/>
          <w:szCs w:val="18"/>
        </w:rPr>
        <w:t xml:space="preserve">  ├─ Vue 3 管理界面</w:t>
      </w:r>
    </w:p>
    <w:p>
      <w:pPr>
        <w:pBdr>
          <w:left w:val="single" w:color="D9EAF7" w:sz="6" w:space="4"/>
        </w:pBdr>
        <w:spacing w:after="40" w:before="40" w:line="260"/>
        <w:ind w:left="240"/>
      </w:pPr>
      <w:r>
        <w:rPr>
          <w:rFonts w:ascii="Consolas" w:cs="Consolas" w:eastAsia="Consolas" w:hAnsi="Consolas"/>
          <w:color w:val="333333"/>
          <w:sz w:val="18"/>
          <w:szCs w:val="18"/>
        </w:rPr>
        <w:t xml:space="preserve">  ├─ Three.js 场景引擎</w:t>
      </w:r>
    </w:p>
    <w:p>
      <w:pPr>
        <w:pBdr>
          <w:left w:val="single" w:color="D9EAF7" w:sz="6" w:space="4"/>
        </w:pBdr>
        <w:spacing w:after="40" w:before="40" w:line="260"/>
        <w:ind w:left="240"/>
      </w:pPr>
      <w:r>
        <w:rPr>
          <w:rFonts w:ascii="Consolas" w:cs="Consolas" w:eastAsia="Consolas" w:hAnsi="Consolas"/>
          <w:color w:val="333333"/>
          <w:sz w:val="18"/>
          <w:szCs w:val="18"/>
        </w:rPr>
        <w:t xml:space="preserve">  ├─ 3D Tiles 静态厂区层</w:t>
      </w:r>
    </w:p>
    <w:p>
      <w:pPr>
        <w:pBdr>
          <w:left w:val="single" w:color="D9EAF7" w:sz="6" w:space="4"/>
        </w:pBdr>
        <w:spacing w:after="40" w:before="40" w:line="260"/>
        <w:ind w:left="240"/>
      </w:pPr>
      <w:r>
        <w:rPr>
          <w:rFonts w:ascii="Consolas" w:cs="Consolas" w:eastAsia="Consolas" w:hAnsi="Consolas"/>
          <w:color w:val="333333"/>
          <w:sz w:val="18"/>
          <w:szCs w:val="18"/>
        </w:rPr>
        <w:t xml:space="preserve">  ├─ GLB 业务设备层</w:t>
      </w:r>
    </w:p>
    <w:p>
      <w:pPr>
        <w:pBdr>
          <w:left w:val="single" w:color="D9EAF7" w:sz="6" w:space="4"/>
        </w:pBdr>
        <w:spacing w:after="40" w:before="40" w:line="260"/>
        <w:ind w:left="240"/>
      </w:pPr>
      <w:r>
        <w:rPr>
          <w:rFonts w:ascii="Consolas" w:cs="Consolas" w:eastAsia="Consolas" w:hAnsi="Consolas"/>
          <w:color w:val="333333"/>
          <w:sz w:val="18"/>
          <w:szCs w:val="18"/>
        </w:rPr>
        <w:t xml:space="preserve">  ├─ Overlay 告警 / 任务 / 状态层</w:t>
      </w:r>
    </w:p>
    <w:p>
      <w:pPr>
        <w:pBdr>
          <w:left w:val="single" w:color="D9EAF7" w:sz="6" w:space="4"/>
        </w:pBdr>
        <w:spacing w:after="40" w:before="40" w:line="260"/>
        <w:ind w:left="240"/>
      </w:pPr>
      <w:r>
        <w:rPr>
          <w:rFonts w:ascii="Consolas" w:cs="Consolas" w:eastAsia="Consolas" w:hAnsi="Consolas"/>
          <w:color w:val="333333"/>
          <w:sz w:val="18"/>
          <w:szCs w:val="18"/>
        </w:rPr>
        <w:t xml:space="preserve">  └─ RuntimeStateAdapter 实时状态适配</w:t>
      </w:r>
    </w:p>
    <w:p>
      <w:pPr>
        <w:pBdr>
          <w:left w:val="single" w:color="D9EAF7" w:sz="6" w:space="4"/>
        </w:pBdr>
        <w:spacing w:after="40" w:before="40" w:line="260"/>
        <w:ind w:left="240"/>
      </w:pPr>
      <w:r>
        <w:rPr>
          <w:rFonts w:ascii="Consolas" w:cs="Consolas" w:eastAsia="Consolas" w:hAnsi="Consolas"/>
          <w:color w:val="333333"/>
          <w:sz w:val="18"/>
          <w:szCs w:val="18"/>
        </w:rPr>
        <w:t xml:space="preserve"/>
      </w:r>
    </w:p>
    <w:p>
      <w:pPr>
        <w:pBdr>
          <w:left w:val="single" w:color="D9EAF7" w:sz="6" w:space="4"/>
        </w:pBdr>
        <w:spacing w:after="40" w:before="40" w:line="260"/>
        <w:ind w:left="240"/>
      </w:pPr>
      <w:r>
        <w:rPr>
          <w:rFonts w:ascii="Consolas" w:cs="Consolas" w:eastAsia="Consolas" w:hAnsi="Consolas"/>
          <w:color w:val="333333"/>
          <w:sz w:val="18"/>
          <w:szCs w:val="18"/>
        </w:rPr>
        <w:t xml:space="preserve">IDTS 后端接口（ASP.NET Core Web API / .NET 8）</w:t>
      </w:r>
    </w:p>
    <w:p>
      <w:pPr>
        <w:pBdr>
          <w:left w:val="single" w:color="D9EAF7" w:sz="6" w:space="4"/>
        </w:pBdr>
        <w:spacing w:after="40" w:before="40" w:line="260"/>
        <w:ind w:left="240"/>
      </w:pPr>
      <w:r>
        <w:rPr>
          <w:rFonts w:ascii="Consolas" w:cs="Consolas" w:eastAsia="Consolas" w:hAnsi="Consolas"/>
          <w:color w:val="333333"/>
          <w:sz w:val="18"/>
          <w:szCs w:val="18"/>
        </w:rPr>
        <w:t xml:space="preserve">  ├─ 模型资产 API</w:t>
      </w:r>
    </w:p>
    <w:p>
      <w:pPr>
        <w:pBdr>
          <w:left w:val="single" w:color="D9EAF7" w:sz="6" w:space="4"/>
        </w:pBdr>
        <w:spacing w:after="40" w:before="40" w:line="260"/>
        <w:ind w:left="240"/>
      </w:pPr>
      <w:r>
        <w:rPr>
          <w:rFonts w:ascii="Consolas" w:cs="Consolas" w:eastAsia="Consolas" w:hAnsi="Consolas"/>
          <w:color w:val="333333"/>
          <w:sz w:val="18"/>
          <w:szCs w:val="18"/>
        </w:rPr>
        <w:t xml:space="preserve">  ├─ 场景 / 设备实例 API</w:t>
      </w:r>
    </w:p>
    <w:p>
      <w:pPr>
        <w:pBdr>
          <w:left w:val="single" w:color="D9EAF7" w:sz="6" w:space="4"/>
        </w:pBdr>
        <w:spacing w:after="40" w:before="40" w:line="260"/>
        <w:ind w:left="240"/>
      </w:pPr>
      <w:r>
        <w:rPr>
          <w:rFonts w:ascii="Consolas" w:cs="Consolas" w:eastAsia="Consolas" w:hAnsi="Consolas"/>
          <w:color w:val="333333"/>
          <w:sz w:val="18"/>
          <w:szCs w:val="18"/>
        </w:rPr>
        <w:t xml:space="preserve">  ├─ 可动部件 / Motion Target API</w:t>
      </w:r>
    </w:p>
    <w:p>
      <w:pPr>
        <w:pBdr>
          <w:left w:val="single" w:color="D9EAF7" w:sz="6" w:space="4"/>
        </w:pBdr>
        <w:spacing w:after="40" w:before="40" w:line="260"/>
        <w:ind w:left="240"/>
      </w:pPr>
      <w:r>
        <w:rPr>
          <w:rFonts w:ascii="Consolas" w:cs="Consolas" w:eastAsia="Consolas" w:hAnsi="Consolas"/>
          <w:color w:val="333333"/>
          <w:sz w:val="18"/>
          <w:szCs w:val="18"/>
        </w:rPr>
        <w:t xml:space="preserve">  ├─ WCS / WMS / MES / ERP 接口适配</w:t>
      </w:r>
    </w:p>
    <w:p>
      <w:pPr>
        <w:pBdr>
          <w:left w:val="single" w:color="D9EAF7" w:sz="6" w:space="4"/>
        </w:pBdr>
        <w:spacing w:after="40" w:before="40" w:line="260"/>
        <w:ind w:left="240"/>
      </w:pPr>
      <w:r>
        <w:rPr>
          <w:rFonts w:ascii="Consolas" w:cs="Consolas" w:eastAsia="Consolas" w:hAnsi="Consolas"/>
          <w:color w:val="333333"/>
          <w:sz w:val="18"/>
          <w:szCs w:val="18"/>
        </w:rPr>
        <w:t xml:space="preserve">  └─ 查询、告警、报表、权限与审计接口</w:t>
      </w:r>
    </w:p>
    <w:p>
      <w:pPr>
        <w:pBdr>
          <w:left w:val="single" w:color="D9EAF7" w:sz="6" w:space="4"/>
        </w:pBdr>
        <w:spacing w:after="40" w:before="40" w:line="260"/>
        <w:ind w:left="240"/>
      </w:pPr>
      <w:r>
        <w:rPr>
          <w:rFonts w:ascii="Consolas" w:cs="Consolas" w:eastAsia="Consolas" w:hAnsi="Consolas"/>
          <w:color w:val="333333"/>
          <w:sz w:val="18"/>
          <w:szCs w:val="18"/>
        </w:rPr>
        <w:t xml:space="preserve"/>
      </w:r>
    </w:p>
    <w:p>
      <w:pPr>
        <w:pBdr>
          <w:left w:val="single" w:color="D9EAF7" w:sz="6" w:space="4"/>
        </w:pBdr>
        <w:spacing w:after="40" w:before="40" w:line="260"/>
        <w:ind w:left="240"/>
      </w:pPr>
      <w:r>
        <w:rPr>
          <w:rFonts w:ascii="Consolas" w:cs="Consolas" w:eastAsia="Consolas" w:hAnsi="Consolas"/>
          <w:color w:val="333333"/>
          <w:sz w:val="18"/>
          <w:szCs w:val="18"/>
        </w:rPr>
        <w:t xml:space="preserve">资产处理与数据层</w:t>
      </w:r>
    </w:p>
    <w:p>
      <w:pPr>
        <w:pBdr>
          <w:left w:val="single" w:color="D9EAF7" w:sz="6" w:space="4"/>
        </w:pBdr>
        <w:spacing w:after="40" w:before="40" w:line="260"/>
        <w:ind w:left="240"/>
      </w:pPr>
      <w:r>
        <w:rPr>
          <w:rFonts w:ascii="Consolas" w:cs="Consolas" w:eastAsia="Consolas" w:hAnsi="Consolas"/>
          <w:color w:val="333333"/>
          <w:sz w:val="18"/>
          <w:szCs w:val="18"/>
        </w:rPr>
        <w:t xml:space="preserve">  ├─ Worker 资产处理服务</w:t>
      </w:r>
    </w:p>
    <w:p>
      <w:pPr>
        <w:pBdr>
          <w:left w:val="single" w:color="D9EAF7" w:sz="6" w:space="4"/>
        </w:pBdr>
        <w:spacing w:after="40" w:before="40" w:line="260"/>
        <w:ind w:left="240"/>
      </w:pPr>
      <w:r>
        <w:rPr>
          <w:rFonts w:ascii="Consolas" w:cs="Consolas" w:eastAsia="Consolas" w:hAnsi="Consolas"/>
          <w:color w:val="333333"/>
          <w:sz w:val="18"/>
          <w:szCs w:val="18"/>
        </w:rPr>
        <w:t xml:space="preserve">  ├─ CAD / GLB / 3D Tiles 转换工具链</w:t>
      </w:r>
    </w:p>
    <w:p>
      <w:pPr>
        <w:pBdr>
          <w:left w:val="single" w:color="D9EAF7" w:sz="6" w:space="4"/>
        </w:pBdr>
        <w:spacing w:after="40" w:before="40" w:line="260"/>
        <w:ind w:left="240"/>
      </w:pPr>
      <w:r>
        <w:rPr>
          <w:rFonts w:ascii="Consolas" w:cs="Consolas" w:eastAsia="Consolas" w:hAnsi="Consolas"/>
          <w:color w:val="333333"/>
          <w:sz w:val="18"/>
          <w:szCs w:val="18"/>
        </w:rPr>
        <w:t xml:space="preserve">  ├─ 数据库（EF Core 8 管理元数据）</w:t>
      </w:r>
    </w:p>
    <w:p>
      <w:pPr>
        <w:pBdr>
          <w:left w:val="single" w:color="D9EAF7" w:sz="6" w:space="4"/>
        </w:pBdr>
        <w:spacing w:after="40" w:before="40" w:line="260"/>
        <w:ind w:left="240"/>
      </w:pPr>
      <w:r>
        <w:rPr>
          <w:rFonts w:ascii="Consolas" w:cs="Consolas" w:eastAsia="Consolas" w:hAnsi="Consolas"/>
          <w:color w:val="333333"/>
          <w:sz w:val="18"/>
          <w:szCs w:val="18"/>
        </w:rPr>
        <w:t xml:space="preserve">  └─ 对象存储（source / high / medium / low / tiles / manifest）</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Three.js 保留为主三维引擎，负责 GLB、设备交互、任务动画、告警浮层和自定义视角。</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3D Tiles 用于厂区、建筑、楼层、固定货架、地面等静态大场景，解决大体量场景的流式加载问题。</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GLB 用于提升机、堆垛机、AGV、输送线关键段等业务设备，保留对象树、可动部件、材质和业务绑定能力。</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可动部件、任务动画、异常高亮和业务绑定不依赖 3D Tiles 内部节点，而由 GLB 设备层和业务配置驱动。</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后端缓存派生模型资产和元数据，不缓存浏览器 GPU 渲染状态。</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模型转换、LOD、切片、manifest、object-tree、model-stats 等长耗时任务由后端 Worker 或离线工具链处理。</w:t>
      </w:r>
    </w:p>
    <w:p>
      <w:pPr>
        <w:pStyle w:val="Heading1"/>
        <w:spacing w:after="140" w:before="320"/>
      </w:pPr>
      <w:r>
        <w:rPr>
          <w:rFonts w:ascii="SimSun" w:cs="SimSun" w:eastAsia="SimSun" w:hAnsi="SimSun"/>
          <w:b/>
          <w:bCs/>
          <w:i w:val="false"/>
          <w:iCs w:val="false"/>
          <w:color w:val="1F4E79"/>
          <w:sz w:val="32"/>
          <w:szCs w:val="32"/>
        </w:rPr>
        <w:t xml:space="preserve">4. 三维模型与场景建设方案</w:t>
      </w:r>
    </w:p>
    <w:p>
      <w:pPr>
        <w:pStyle w:val="Heading2"/>
        <w:spacing w:after="140" w:before="220"/>
      </w:pPr>
      <w:r>
        <w:rPr>
          <w:rFonts w:ascii="SimSun" w:cs="SimSun" w:eastAsia="SimSun" w:hAnsi="SimSun"/>
          <w:b/>
          <w:bCs/>
          <w:i w:val="false"/>
          <w:iCs w:val="false"/>
          <w:color w:val="000000"/>
          <w:sz w:val="28"/>
          <w:szCs w:val="28"/>
        </w:rPr>
        <w:t xml:space="preserve">4.1 CAD 规划建筑物渲染</w:t>
      </w:r>
    </w:p>
    <w:p>
      <w:pPr>
        <w:spacing w:after="80" w:before="80" w:line="300"/>
        <w:jc w:val="left"/>
      </w:pPr>
      <w:r>
        <w:rPr>
          <w:rFonts w:ascii="SimSun" w:cs="SimSun" w:eastAsia="SimSun" w:hAnsi="SimSun"/>
          <w:b w:val="false"/>
          <w:bCs w:val="false"/>
          <w:i w:val="false"/>
          <w:iCs w:val="false"/>
          <w:color w:val="000000"/>
          <w:sz w:val="22"/>
          <w:szCs w:val="22"/>
        </w:rPr>
        <w:t xml:space="preserve">系统应支持将项目 CAD 规划中的厂区、建筑、楼层、区域、货架区、地堆区、输送线规划区域和 AGV 路径展示区域转换为 Web 可浏览的三维资产。CAD、BIM、IFC、STEP、DWG 等源文件不适合作为浏览器长期运行时加载格式，应由后端或离线工具链转换为 GLB 或 3D Tiles。</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大型静态场景优先转换为 3D Tiles，以支持空间层级、分区加载和后续大场景生产化。</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小型或低精度静态模型可采用 GLB，但需要控制文件体积、面数、材质和贴图预算。</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静态场景应具有版本管理、发布、回滚、校准和审计能力。</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厂区坐标系、楼层高度、设备摆放坐标和业务路径坐标必须统一。</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浏览器端只负责加载和展示，不承担复杂 CAD 转换、切片和资产压缩。</w:t>
      </w:r>
    </w:p>
    <w:p>
      <w:pPr>
        <w:pStyle w:val="Heading2"/>
        <w:spacing w:after="140" w:before="220"/>
      </w:pPr>
      <w:r>
        <w:rPr>
          <w:rFonts w:ascii="SimSun" w:cs="SimSun" w:eastAsia="SimSun" w:hAnsi="SimSun"/>
          <w:b/>
          <w:bCs/>
          <w:i w:val="false"/>
          <w:iCs w:val="false"/>
          <w:color w:val="000000"/>
          <w:sz w:val="28"/>
          <w:szCs w:val="28"/>
        </w:rPr>
        <w:t xml:space="preserve">4.2 GLB 设备模型渲染</w:t>
      </w:r>
    </w:p>
    <w:p>
      <w:pPr>
        <w:spacing w:after="80" w:before="80" w:line="300"/>
        <w:jc w:val="left"/>
      </w:pPr>
      <w:r>
        <w:rPr>
          <w:rFonts w:ascii="SimSun" w:cs="SimSun" w:eastAsia="SimSun" w:hAnsi="SimSun"/>
          <w:b w:val="false"/>
          <w:bCs w:val="false"/>
          <w:i w:val="false"/>
          <w:iCs w:val="false"/>
          <w:color w:val="000000"/>
          <w:sz w:val="22"/>
          <w:szCs w:val="22"/>
        </w:rPr>
        <w:t xml:space="preserve">提升机、堆垛机、AGV、输送线关键段和机械手等业务设备建议使用独立 GLB 模型接入。GLB 设备模型需要保留对象树、mesh、材质、可动部件层级和可识别业务命名，以支持点击选中、对象详情、父子级查看、异常高亮、任务动画和后续可动部件配置。</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关键业务对象应保留稳定名称，如设备根节点、固定框架、可动平台、货叉、AGV 主体、输送线段等。</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模型中应保留业务名称、partCode、运动轴、上下限和目标点位配置所需的可匹配对象。</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设备 GLB 与厂区底座通过 position、rotation、scale 和统一坐标基准对齐。</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当前 Demo 中 CAD 转换得到的自动节点名可用于调试，但不宜作为正式长期业务绑定。</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异常状态、选中状态和业务状态应以可恢复的材质或高亮层实现，避免永久污染原始模型材质。</w:t>
      </w:r>
    </w:p>
    <w:p>
      <w:pPr>
        <w:pStyle w:val="Heading2"/>
        <w:spacing w:after="140" w:before="220"/>
      </w:pPr>
      <w:r>
        <w:rPr>
          <w:rFonts w:ascii="SimSun" w:cs="SimSun" w:eastAsia="SimSun" w:hAnsi="SimSun"/>
          <w:b/>
          <w:bCs/>
          <w:i w:val="false"/>
          <w:iCs w:val="false"/>
          <w:color w:val="000000"/>
          <w:sz w:val="28"/>
          <w:szCs w:val="28"/>
        </w:rPr>
        <w:t xml:space="preserve">4.3 模型资产管理</w:t>
      </w:r>
    </w:p>
    <w:p>
      <w:pPr>
        <w:spacing w:after="80" w:before="80" w:line="300"/>
        <w:jc w:val="left"/>
      </w:pPr>
      <w:r>
        <w:rPr>
          <w:rFonts w:ascii="SimSun" w:cs="SimSun" w:eastAsia="SimSun" w:hAnsi="SimSun"/>
          <w:b w:val="false"/>
          <w:bCs w:val="false"/>
          <w:i w:val="false"/>
          <w:iCs w:val="false"/>
          <w:color w:val="000000"/>
          <w:sz w:val="22"/>
          <w:szCs w:val="22"/>
        </w:rPr>
        <w:t xml:space="preserve">正式项目需要从静态文件管理升级为模型资产管理体系，覆盖上传、去重、转换、派生、索引、发布和审计全过程。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能力</w:t>
            </w:r>
          </w:p>
        </w:tc>
        <w:tc>
          <w:tcPr>
            <w:tcW w:type="dxa" w:w="3008"/>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说明</w:t>
            </w:r>
          </w:p>
        </w:tc>
        <w:tc>
          <w:tcPr>
            <w:tcW w:type="dxa" w:w="3010"/>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实施建议</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模型上传</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支持 GLB 设备模型和后续 CAD / IFC / STEP 等源文件上传。</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MVP 先以 GLB 上传为主，CAD 转换后续阶段进入。</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hash 去重</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对源文件计算 hash，避免重复转换和重复存储。</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后端统一计算并维护 sourceFileHash。</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版本管理</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区分 Draft、Ready、Published、Archived、Failed、Invalid 等状态。</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监控模式只加载 Published 版本。</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manifest 加载</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前端不直接拼接文件路径，而消费后端 manifest。</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manifest 描述 source/high/medium/low/tiles 和 transform。</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object-tree 索引</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保存模型对象树、对象路径、父子级、包围盒和业务绑定索引。</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用于点击、配置、绑定失效检测和调试。</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model-stats</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统计文件大小、mesh、material、texture、vertex、triangle、draw call 估算等。</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作为发布前性能门禁依据。</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派生资产</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生成 source / high / medium / low / tiles / thumbnail 等资产。</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不同视角和场景按需加载不同精度。</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发布 / 回滚 / 审计</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发布前检查绑定、性能预算、manifest 和转换状态。</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所有发布、回滚和危险操作记录审计。</w:t>
            </w:r>
          </w:p>
        </w:tc>
      </w:tr>
    </w:tbl>
    <w:p>
      <w:pPr>
        <w:pStyle w:val="Heading1"/>
        <w:spacing w:after="140" w:before="320"/>
      </w:pPr>
      <w:r>
        <w:rPr>
          <w:rFonts w:ascii="SimSun" w:cs="SimSun" w:eastAsia="SimSun" w:hAnsi="SimSun"/>
          <w:b/>
          <w:bCs/>
          <w:i w:val="false"/>
          <w:iCs w:val="false"/>
          <w:color w:val="1F4E79"/>
          <w:sz w:val="32"/>
          <w:szCs w:val="32"/>
        </w:rPr>
        <w:t xml:space="preserve">5. 模型仿真方案</w:t>
      </w:r>
    </w:p>
    <w:p>
      <w:pPr>
        <w:spacing w:after="80" w:before="80" w:line="300"/>
        <w:jc w:val="left"/>
      </w:pPr>
      <w:r>
        <w:rPr>
          <w:rFonts w:ascii="SimSun" w:cs="SimSun" w:eastAsia="SimSun" w:hAnsi="SimSun"/>
          <w:b w:val="false"/>
          <w:bCs w:val="false"/>
          <w:i w:val="false"/>
          <w:iCs w:val="false"/>
          <w:color w:val="000000"/>
          <w:sz w:val="22"/>
          <w:szCs w:val="22"/>
        </w:rPr>
        <w:t xml:space="preserve">模型仿真不是单纯播放固定动画，也不是由数字孪生系统自行计算调度策略，而是由业务数据驱动的运行过程呈现。系统应支持实时数据驱动仿真和业务任务仿真两类模式：实时模式由 WCS / 现场系统推送状态、坐标、任务和告警数据；业务仿真模式根据上游系统分段任务、路线结果和目标点位进行可视化演示。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仿真对象</w:t>
            </w:r>
          </w:p>
        </w:tc>
        <w:tc>
          <w:tcPr>
            <w:tcW w:type="dxa" w:w="2256"/>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仿真内容</w:t>
            </w:r>
          </w:p>
        </w:tc>
        <w:tc>
          <w:tcPr>
            <w:tcW w:type="dxa" w:w="2256"/>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数据依赖</w:t>
            </w:r>
          </w:p>
        </w:tc>
        <w:tc>
          <w:tcPr>
            <w:tcW w:type="dxa" w:w="2258"/>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边界说明</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AGV</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行驶轨迹、方向、速度、任务状态、取货、卸货、充电、故障。</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AGV 坐标、速度、电量、任务、故障数据。</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路径结果、调度结果和冲突处理结果由第三方调度系统 / WCS / 上游系统提供，本系统负责展示。</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堆垛机</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X/Y/Z 移动、货叉伸缩、取货、放货、返回待机位、异常报警。</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堆垛机坐标、货叉状态、任务、货位和故障数据。</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作业路径结果和产能分析结果由上游系统提供，本系统负责三维呈现和回放。</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提升机</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载货台升降、运行状态、载货有无、任务和异常。</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提升机高度、任务、传感器或电机状态。</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运动轴可采用 worldZ 或配置化轴。</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输送线</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线段运行、停止、堵塞、故障、货物经过过程。</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输送线段状态、货物位置、异常码。</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需明确线段编码和交接点。</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货位与物资</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货位空满、锁定、异常、物资在库、入库、出库、搬运。</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WMS / WCS / 库存和任务数据。</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库存准确性依赖上游数据。</w:t>
            </w:r>
          </w:p>
        </w:tc>
      </w:tr>
    </w:tbl>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实时模式下，设备模型应根据 WCS / 现场系统坐标和状态变化实时更新。</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业务仿真模式下，系统可根据分段任务展示设备连续运行过程，但任务分配、路径规划、冲突规避和调度计算结果由第三方调度系统 / WCS / 上游系统提供。</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对于上游系统只提供离散状态的情况，前端可进行插值展示，但不能替代真实定位数据。</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仿真结果应服务于展示、联动、提醒、回放和复盘；产能数据展示、第三方路径优化结果展示和效率指标呈现均以外部系统提供的数据为依据。</w:t>
      </w:r>
    </w:p>
    <w:p>
      <w:pPr>
        <w:pStyle w:val="Heading2"/>
        <w:spacing w:after="140" w:before="220"/>
      </w:pPr>
      <w:r>
        <w:rPr>
          <w:rFonts w:ascii="SimSun" w:cs="SimSun" w:eastAsia="SimSun" w:hAnsi="SimSun"/>
          <w:b/>
          <w:bCs/>
          <w:i w:val="false"/>
          <w:iCs w:val="false"/>
          <w:color w:val="000000"/>
          <w:sz w:val="28"/>
          <w:szCs w:val="28"/>
        </w:rPr>
        <w:t xml:space="preserve">5.1 调度与算法边界</w:t>
      </w:r>
    </w:p>
    <w:p>
      <w:pPr>
        <w:spacing w:after="80" w:before="80" w:line="300"/>
        <w:jc w:val="left"/>
      </w:pPr>
      <w:r>
        <w:rPr>
          <w:rFonts w:ascii="SimSun" w:cs="SimSun" w:eastAsia="SimSun" w:hAnsi="SimSun"/>
          <w:b w:val="false"/>
          <w:bCs w:val="false"/>
          <w:i w:val="false"/>
          <w:iCs w:val="false"/>
          <w:color w:val="000000"/>
          <w:sz w:val="22"/>
          <w:szCs w:val="22"/>
        </w:rPr>
        <w:t xml:space="preserve">数字孪生系统不承担 AGV 调度算法，不承担路径规划算法，不承担冲突规避算法，不承担任务分配算法，也不承担产能优化算法。第三方调度系统、WCS 或其他上游系统负责完成调度计算、路径计算、冲突处理、任务分配和产能优化，并向数字孪生系统推送计算结果。</w:t>
      </w:r>
    </w:p>
    <w:p>
      <w:pPr>
        <w:spacing w:after="80" w:before="80" w:line="300"/>
        <w:jc w:val="left"/>
      </w:pPr>
      <w:r>
        <w:rPr>
          <w:rFonts w:ascii="SimSun" w:cs="SimSun" w:eastAsia="SimSun" w:hAnsi="SimSun"/>
          <w:b w:val="false"/>
          <w:bCs w:val="false"/>
          <w:i w:val="false"/>
          <w:iCs w:val="false"/>
          <w:color w:val="000000"/>
          <w:sz w:val="22"/>
          <w:szCs w:val="22"/>
        </w:rPr>
        <w:t xml:space="preserve">数字孪生系统负责接收调度结果、路径点、任务状态、设备状态、异常状态和效率指标，并进行三维可视化呈现、状态映射、轨迹展示、回放和提醒。如项目要求数字孪生系统独立承担调度、路径规划、冲突规避、任务分配或产能优化算法，应另立专项评估，不属于当前方案默认建设范围。</w:t>
      </w:r>
    </w:p>
    <w:p>
      <w:pPr>
        <w:pStyle w:val="Heading1"/>
        <w:spacing w:after="140" w:before="320"/>
      </w:pPr>
      <w:r>
        <w:rPr>
          <w:rFonts w:ascii="SimSun" w:cs="SimSun" w:eastAsia="SimSun" w:hAnsi="SimSun"/>
          <w:b/>
          <w:bCs/>
          <w:i w:val="false"/>
          <w:iCs w:val="false"/>
          <w:color w:val="1F4E79"/>
          <w:sz w:val="32"/>
          <w:szCs w:val="32"/>
        </w:rPr>
        <w:t xml:space="preserve">6. WCS 实时数据对接方案</w:t>
      </w:r>
    </w:p>
    <w:p>
      <w:pPr>
        <w:spacing w:after="80" w:before="80" w:line="300"/>
        <w:jc w:val="left"/>
      </w:pPr>
      <w:r>
        <w:rPr>
          <w:rFonts w:ascii="SimSun" w:cs="SimSun" w:eastAsia="SimSun" w:hAnsi="SimSun"/>
          <w:b w:val="false"/>
          <w:bCs w:val="false"/>
          <w:i w:val="false"/>
          <w:iCs w:val="false"/>
          <w:color w:val="000000"/>
          <w:sz w:val="22"/>
          <w:szCs w:val="22"/>
        </w:rPr>
        <w:t xml:space="preserve">WCS 是设备状态、任务状态、位置数据和告警数据的重要来源。数字孪生系统应通过 WebAPI、WebSocket、SignalR、HTTP polling 等方式与 WCS 对接。初期可采用 HTTP polling 或 WebAPI 快速闭环；后续实时状态、坐标和告警建议采用 WebSocket / SignalR 推送。</w:t>
      </w:r>
    </w:p>
    <w:p>
      <w:pPr>
        <w:pBdr>
          <w:left w:val="single" w:color="D9EAF7" w:sz="6" w:space="4"/>
        </w:pBdr>
        <w:spacing w:after="40" w:before="40" w:line="260"/>
        <w:ind w:left="240"/>
      </w:pPr>
      <w:r>
        <w:rPr>
          <w:rFonts w:ascii="Consolas" w:cs="Consolas" w:eastAsia="Consolas" w:hAnsi="Consolas"/>
          <w:color w:val="333333"/>
          <w:sz w:val="18"/>
          <w:szCs w:val="18"/>
        </w:rPr>
        <w:t xml:space="preserve">WCS / WMS / MES / ERP</w:t>
      </w:r>
    </w:p>
    <w:p>
      <w:pPr>
        <w:pBdr>
          <w:left w:val="single" w:color="D9EAF7" w:sz="6" w:space="4"/>
        </w:pBdr>
        <w:spacing w:after="40" w:before="40" w:line="260"/>
        <w:ind w:left="240"/>
      </w:pPr>
      <w:r>
        <w:rPr>
          <w:rFonts w:ascii="Consolas" w:cs="Consolas" w:eastAsia="Consolas" w:hAnsi="Consolas"/>
          <w:color w:val="333333"/>
          <w:sz w:val="18"/>
          <w:szCs w:val="18"/>
        </w:rPr>
        <w:t xml:space="preserve">→ IDTS 后端接口</w:t>
      </w:r>
    </w:p>
    <w:p>
      <w:pPr>
        <w:pBdr>
          <w:left w:val="single" w:color="D9EAF7" w:sz="6" w:space="4"/>
        </w:pBdr>
        <w:spacing w:after="40" w:before="40" w:line="260"/>
        <w:ind w:left="240"/>
      </w:pPr>
      <w:r>
        <w:rPr>
          <w:rFonts w:ascii="Consolas" w:cs="Consolas" w:eastAsia="Consolas" w:hAnsi="Consolas"/>
          <w:color w:val="333333"/>
          <w:sz w:val="18"/>
          <w:szCs w:val="18"/>
        </w:rPr>
        <w:t xml:space="preserve">→ 数据清洗与状态映射</w:t>
      </w:r>
    </w:p>
    <w:p>
      <w:pPr>
        <w:pBdr>
          <w:left w:val="single" w:color="D9EAF7" w:sz="6" w:space="4"/>
        </w:pBdr>
        <w:spacing w:after="40" w:before="40" w:line="260"/>
        <w:ind w:left="240"/>
      </w:pPr>
      <w:r>
        <w:rPr>
          <w:rFonts w:ascii="Consolas" w:cs="Consolas" w:eastAsia="Consolas" w:hAnsi="Consolas"/>
          <w:color w:val="333333"/>
          <w:sz w:val="18"/>
          <w:szCs w:val="18"/>
        </w:rPr>
        <w:t xml:space="preserve">→ 前端 RuntimeStateAdapter</w:t>
      </w:r>
    </w:p>
    <w:p>
      <w:pPr>
        <w:pBdr>
          <w:left w:val="single" w:color="D9EAF7" w:sz="6" w:space="4"/>
        </w:pBdr>
        <w:spacing w:after="40" w:before="40" w:line="260"/>
        <w:ind w:left="240"/>
      </w:pPr>
      <w:r>
        <w:rPr>
          <w:rFonts w:ascii="Consolas" w:cs="Consolas" w:eastAsia="Consolas" w:hAnsi="Consolas"/>
          <w:color w:val="333333"/>
          <w:sz w:val="18"/>
          <w:szCs w:val="18"/>
        </w:rPr>
        <w:t xml:space="preserve">→ Three.js 场景实时更新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WCS 提供数据</w:t>
            </w:r>
          </w:p>
        </w:tc>
        <w:tc>
          <w:tcPr>
            <w:tcW w:type="dxa" w:w="3008"/>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用途</w:t>
            </w:r>
          </w:p>
        </w:tc>
        <w:tc>
          <w:tcPr>
            <w:tcW w:type="dxa" w:w="3010"/>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数字孪生系统处理</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设备编号、设备类型</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匹配设备实例和模型资产。</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映射到场景中的设备 GLB 或设备图标。</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设备运行状态</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显示运行、待机、充电、故障、维护等状态。</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更新颜色、标签、详情面板和告警状态。</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AGV 坐标、速度、电量</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驱动 AGV 位置、方向、速度和低电量提示。</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移动 AGV 模型，显示轨迹、电量和充电区占用。</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堆垛机 X/Y/Z 坐标</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驱动堆垛机横移、升降和货叉动作。</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更新模型位置、运动部件和作业轨迹。</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提升机高度</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驱动载货台升降。</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按配置化运动轴或 worldZ 更新可动部件。</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输送线状态</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显示线段运行、停止、堵塞和故障。</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更新输送线段状态和异常提示。</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当前任务号、起点、终点</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展示任务进度和路径。</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绘制任务轨迹线，更新任务详情。</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货物信息</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展示托盘、SKU、名称、数量和订单信息。</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绑定到 AGV、货位、输送线或任务详情。</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告警码、告警信息、时间戳</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定位故障和记录告警。</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高亮异常部件，展示 callout / 弹窗和历史记录。</w:t>
            </w:r>
          </w:p>
        </w:tc>
      </w:tr>
    </w:tbl>
    <w:p>
      <w:pPr>
        <w:spacing w:after="80" w:before="80" w:line="300"/>
        <w:jc w:val="left"/>
      </w:pPr>
      <w:r>
        <w:rPr>
          <w:rFonts w:ascii="SimSun" w:cs="SimSun" w:eastAsia="SimSun" w:hAnsi="SimSun"/>
          <w:b w:val="false"/>
          <w:bCs w:val="false"/>
          <w:i w:val="false"/>
          <w:iCs w:val="false"/>
          <w:color w:val="000000"/>
          <w:sz w:val="22"/>
          <w:szCs w:val="22"/>
        </w:rPr>
        <w:t xml:space="preserve">数字孪生系统负责接收数据、映射到设备实例、更新模型位置和状态、高亮异常部件、展示任务过程、展示告警提醒并提供查询追踪。上游系统负责提供准确、及时、可解释的业务数据；本系统不应在未约定范围内自行推断业务调度结果。</w:t>
      </w:r>
    </w:p>
    <w:p>
      <w:pPr>
        <w:pStyle w:val="Heading1"/>
        <w:spacing w:after="140" w:before="320"/>
      </w:pPr>
      <w:r>
        <w:rPr>
          <w:rFonts w:ascii="SimSun" w:cs="SimSun" w:eastAsia="SimSun" w:hAnsi="SimSun"/>
          <w:b/>
          <w:bCs/>
          <w:i w:val="false"/>
          <w:iCs w:val="false"/>
          <w:color w:val="1F4E79"/>
          <w:sz w:val="32"/>
          <w:szCs w:val="32"/>
        </w:rPr>
        <w:t xml:space="preserve">7. 设备级业务功能设计</w:t>
      </w:r>
    </w:p>
    <w:p>
      <w:pPr>
        <w:pStyle w:val="Heading2"/>
        <w:spacing w:after="140" w:before="220"/>
      </w:pPr>
      <w:r>
        <w:rPr>
          <w:rFonts w:ascii="SimSun" w:cs="SimSun" w:eastAsia="SimSun" w:hAnsi="SimSun"/>
          <w:b/>
          <w:bCs/>
          <w:i w:val="false"/>
          <w:iCs w:val="false"/>
          <w:color w:val="000000"/>
          <w:sz w:val="28"/>
          <w:szCs w:val="28"/>
        </w:rPr>
        <w:t xml:space="preserve">7.1 AGV 数字孪生</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展示 AGV 路线、实时坐标、行驶轨迹、方向、速度和当前任务。</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展示任务号、起点、终点、优先级、任务状态和执行进度。</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展示取货、运输、卸货过程和当前搬运物料信息。</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展示电量、充电状态、充电区空闲 / 占用和低电量预警。</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AGV 故障时高亮模型或图标，展示故障类型、可能原因和处理建议。</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路径拥堵、避让、调度建议等结果由第三方调度系统或 WCS 提供，本系统负责展示和追踪；如需本系统独立计算，应另立专项，不属于当前方案范围。</w:t>
      </w:r>
    </w:p>
    <w:p>
      <w:pPr>
        <w:pStyle w:val="Heading2"/>
        <w:spacing w:after="140" w:before="220"/>
      </w:pPr>
      <w:r>
        <w:rPr>
          <w:rFonts w:ascii="SimSun" w:cs="SimSun" w:eastAsia="SimSun" w:hAnsi="SimSun"/>
          <w:b/>
          <w:bCs/>
          <w:i w:val="false"/>
          <w:iCs w:val="false"/>
          <w:color w:val="000000"/>
          <w:sz w:val="28"/>
          <w:szCs w:val="28"/>
        </w:rPr>
        <w:t xml:space="preserve">7.2 堆垛机数字孪生</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展示堆垛机运行、待机、故障、维护等运行状态。</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展示 X 轴货架列、Y 轴货架层、Z 轴升降高度等位置信息，位置精度建议按需求达到 ±10mm。</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展示货叉伸、缩、举升等动作，以及取货、放货、返回待机位等作业流程。</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展示当前任务、目标货位、托盘、SKU、数量、入库时间、所属订单等信息。</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故障或货位异常时立即高亮并提示，支持弹窗、告警列表和声光提醒。</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作业路径结果展示、效率指标展示和产能分析结果呈现可作为后续阶段，计算结果由第三方调度系统 / WCS / 上游系统提供，本系统负责三维呈现、轨迹回放和提醒。</w:t>
      </w:r>
    </w:p>
    <w:p>
      <w:pPr>
        <w:pStyle w:val="Heading2"/>
        <w:spacing w:after="140" w:before="220"/>
      </w:pPr>
      <w:r>
        <w:rPr>
          <w:rFonts w:ascii="SimSun" w:cs="SimSun" w:eastAsia="SimSun" w:hAnsi="SimSun"/>
          <w:b/>
          <w:bCs/>
          <w:i w:val="false"/>
          <w:iCs w:val="false"/>
          <w:color w:val="000000"/>
          <w:sz w:val="28"/>
          <w:szCs w:val="28"/>
        </w:rPr>
        <w:t xml:space="preserve">7.3 提升机数字孪生</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展示提升机运行 / 待机 / 故障状态、升降高度、载货台位置和当前任务。</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载货台应作为可动部件配置，支持 worldZ 或配置化运动轴。</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通过 WCS 或设备接口提供的高度数据驱动升降动作。</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展示载货台有货 / 无货、传感器异常、电机异常和任务状态。</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与输送线、堆垛机、AGV 的接驳点需要在场景中明确标识。</w:t>
      </w:r>
    </w:p>
    <w:p>
      <w:pPr>
        <w:pStyle w:val="Heading2"/>
        <w:spacing w:after="140" w:before="220"/>
      </w:pPr>
      <w:r>
        <w:rPr>
          <w:rFonts w:ascii="SimSun" w:cs="SimSun" w:eastAsia="SimSun" w:hAnsi="SimSun"/>
          <w:b/>
          <w:bCs/>
          <w:i w:val="false"/>
          <w:iCs w:val="false"/>
          <w:color w:val="000000"/>
          <w:sz w:val="28"/>
          <w:szCs w:val="28"/>
        </w:rPr>
        <w:t xml:space="preserve">7.4 输送线数字孪生</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展示输送线运行、停止、故障、堵塞和停线状态。</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按输送线段显示状态，支持线段级启停、异常和货物经过过程。</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展示当前输送物料信息和异常原因。</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与堆垛机、提升机、AGV 的交接点应可视化，便于跟踪任务流转。</w:t>
      </w:r>
    </w:p>
    <w:p>
      <w:pPr>
        <w:pStyle w:val="Heading2"/>
        <w:spacing w:after="140" w:before="220"/>
      </w:pPr>
      <w:r>
        <w:rPr>
          <w:rFonts w:ascii="SimSun" w:cs="SimSun" w:eastAsia="SimSun" w:hAnsi="SimSun"/>
          <w:b/>
          <w:bCs/>
          <w:i w:val="false"/>
          <w:iCs w:val="false"/>
          <w:color w:val="000000"/>
          <w:sz w:val="28"/>
          <w:szCs w:val="28"/>
        </w:rPr>
        <w:t xml:space="preserve">7.5 立体库、货位和地堆</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展示货位空 / 满 / 锁定 / 异常状态。</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点击货位查看库位编码、托盘编码、SKU、名称、规格、数量、入库时间和所属订单。</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空料架点击显示托盘编码；满料架点击显示物料详情。</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支持按货位、托盘、SKU、物料名称和规格型号查询，查询后高亮定位。</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支持立体库和地堆区域展示，货位状态由 WMS / WCS / 库存接口提供。</w:t>
      </w:r>
    </w:p>
    <w:p>
      <w:pPr>
        <w:pStyle w:val="Heading1"/>
        <w:spacing w:after="140" w:before="320"/>
      </w:pPr>
      <w:r>
        <w:rPr>
          <w:rFonts w:ascii="SimSun" w:cs="SimSun" w:eastAsia="SimSun" w:hAnsi="SimSun"/>
          <w:b/>
          <w:bCs/>
          <w:i w:val="false"/>
          <w:iCs w:val="false"/>
          <w:color w:val="1F4E79"/>
          <w:sz w:val="32"/>
          <w:szCs w:val="32"/>
        </w:rPr>
        <w:t xml:space="preserve">8. 数据交互与系统集成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系统</w:t>
            </w:r>
          </w:p>
        </w:tc>
        <w:tc>
          <w:tcPr>
            <w:tcW w:type="dxa" w:w="2256"/>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主要数据</w:t>
            </w:r>
          </w:p>
        </w:tc>
        <w:tc>
          <w:tcPr>
            <w:tcW w:type="dxa" w:w="2256"/>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交互方向</w:t>
            </w:r>
          </w:p>
        </w:tc>
        <w:tc>
          <w:tcPr>
            <w:tcW w:type="dxa" w:w="2258"/>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方案边界</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WCS</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设备状态、任务、坐标、告警、货物和时间戳。</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WCS → IDTS；必要时 IDTS → WCS 回报仿真或任务展示状态。</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实时数据核心来源，建议分阶段从 WebAPI / polling 演进到 WebSocket / SignalR。</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WMS</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入库订单、出库订单、货位管理规则、库存、SKU、数量、优先级。</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WMS ↔ IDTS。</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货位、物资、库存和任务展示依赖 WMS 数据。</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MES</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生产计划、物料配送进度、生产线缺料、AGV 配送任务。</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MES ↔ IDTS。</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用于生产物流联动和紧急配送任务展示。</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ERP</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库存快照、设备效率、故障成本、月度报表数据。</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ERP ↔ IDTS。</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以统计、报表和经营分析展示为主。</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设备 / PLC / 现场系统</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设备传感器、执行状态、故障码、运行时长。</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现场系统 → WCS 或 IDTS。</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具体链路需根据现场控制架构确认。</w:t>
            </w:r>
          </w:p>
        </w:tc>
      </w:tr>
    </w:tbl>
    <w:p>
      <w:pPr>
        <w:pStyle w:val="Heading2"/>
        <w:spacing w:after="140" w:before="220"/>
      </w:pPr>
      <w:r>
        <w:rPr>
          <w:rFonts w:ascii="SimSun" w:cs="SimSun" w:eastAsia="SimSun" w:hAnsi="SimSun"/>
          <w:b/>
          <w:bCs/>
          <w:i w:val="false"/>
          <w:iCs w:val="false"/>
          <w:color w:val="000000"/>
          <w:sz w:val="28"/>
          <w:szCs w:val="28"/>
        </w:rPr>
        <w:t xml:space="preserve">8.5 数据边界说明</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上游系统提供业务数据、任务数据、库存数据、权限数据、设备控制结果和调度计算结果。</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数字孪生系统负责展示、映射、提醒、查询、定位、回放和仿真呈现。</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调度算法、路径优化、冲突规避、任务分配和产能优化不属于本系统默认建设范围；第三方调度系统 / WCS / 上游系统提供计算结果，本系统负责接收和展示。</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远程控制涉及安全风险，应明确控制接口、权限、二次确认、审计和责任边界。</w:t>
      </w:r>
    </w:p>
    <w:p>
      <w:pPr>
        <w:pStyle w:val="Heading1"/>
        <w:spacing w:after="140" w:before="320"/>
      </w:pPr>
      <w:r>
        <w:rPr>
          <w:rFonts w:ascii="SimSun" w:cs="SimSun" w:eastAsia="SimSun" w:hAnsi="SimSun"/>
          <w:b/>
          <w:bCs/>
          <w:i w:val="false"/>
          <w:iCs w:val="false"/>
          <w:color w:val="1F4E79"/>
          <w:sz w:val="32"/>
          <w:szCs w:val="32"/>
        </w:rPr>
        <w:t xml:space="preserve">9. 交互与展示功能</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支持缩放、旋转、拖拽视角和多视角切换。</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支持全局鸟瞰视角、堆垛机特写视角、AGV 路径视角和设备跟随视角。</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支持虚拟摄像头、巡检路线、自定义区域轮播和固定大屏视角。</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支持电视大屏互动，展示 AGV、堆垛机、输送线、提升机、立体库、库位、托盘和物资信息。</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支持点击设备查看详情、点击货位查看物资详情、查询物资后高亮定位。</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支持告警 callout、弹窗提示、异常设备高亮、任务轨迹线展示和历史告警入口。</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触摸缩放和旋转是否启用取决于现场大屏硬件；不支持触摸时应支持鼠标和键盘操作。</w:t>
      </w:r>
    </w:p>
    <w:p>
      <w:pPr>
        <w:pStyle w:val="Heading1"/>
        <w:spacing w:after="140" w:before="320"/>
      </w:pPr>
      <w:r>
        <w:rPr>
          <w:rFonts w:ascii="SimSun" w:cs="SimSun" w:eastAsia="SimSun" w:hAnsi="SimSun"/>
          <w:b/>
          <w:bCs/>
          <w:i w:val="false"/>
          <w:iCs w:val="false"/>
          <w:color w:val="1F4E79"/>
          <w:sz w:val="32"/>
          <w:szCs w:val="32"/>
        </w:rPr>
        <w:t xml:space="preserve">10. 统计报表与管理功能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功能</w:t>
            </w:r>
          </w:p>
        </w:tc>
        <w:tc>
          <w:tcPr>
            <w:tcW w:type="dxa" w:w="2256"/>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内容</w:t>
            </w:r>
          </w:p>
        </w:tc>
        <w:tc>
          <w:tcPr>
            <w:tcW w:type="dxa" w:w="2256"/>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数据来源</w:t>
            </w:r>
          </w:p>
        </w:tc>
        <w:tc>
          <w:tcPr>
            <w:tcW w:type="dxa" w:w="2258"/>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阶段建议</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全局状态看板</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展示货位利用率、堆垛机运行率、AGV 任务完成率、故障设备数量。</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WMS / WCS / 设备状态接口</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阶段四</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货位利用率</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已占用货位 / 总货位，点击后查看货位分布。</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WMS 库存与货位状态</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阶段四</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AGV 效率分析</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按日 / 周 / 月统计行驶、作业、空闲占比和任务完成率。</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AGV 系统 / WCS / 历史任务数据</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阶段四或后续</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堆垛机作业统计</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按日、设备统计取放货次数、运行时间和作业效率。</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WCS / 设备任务数据</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阶段四或后续</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货位周转率</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按月 / SKU 统计货位周转情况。</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WMS / ERP</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阶段四或后续</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故障统计</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按故障类型、设备、月份统计故障次数、处理状态和恢复时间。</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告警接口 / 设备接口</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阶段四或后续</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自动报表</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日报、周报、月报自动生成，邮件推送可扩展。</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报表服务与上游统计数据</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后续扩展</w:t>
            </w:r>
          </w:p>
        </w:tc>
      </w:tr>
    </w:tbl>
    <w:p>
      <w:pPr>
        <w:pStyle w:val="Heading1"/>
        <w:spacing w:after="140" w:before="320"/>
      </w:pPr>
      <w:r>
        <w:rPr>
          <w:rFonts w:ascii="SimSun" w:cs="SimSun" w:eastAsia="SimSun" w:hAnsi="SimSun"/>
          <w:b/>
          <w:bCs/>
          <w:i w:val="false"/>
          <w:iCs w:val="false"/>
          <w:color w:val="1F4E79"/>
          <w:sz w:val="32"/>
          <w:szCs w:val="32"/>
        </w:rPr>
        <w:t xml:space="preserve">11. 远程控制与权限管理</w:t>
      </w:r>
    </w:p>
    <w:p>
      <w:pPr>
        <w:spacing w:after="80" w:before="80" w:line="300"/>
        <w:jc w:val="left"/>
      </w:pPr>
      <w:r>
        <w:rPr>
          <w:rFonts w:ascii="SimSun" w:cs="SimSun" w:eastAsia="SimSun" w:hAnsi="SimSun"/>
          <w:b w:val="false"/>
          <w:bCs w:val="false"/>
          <w:i w:val="false"/>
          <w:iCs w:val="false"/>
          <w:color w:val="000000"/>
          <w:sz w:val="22"/>
          <w:szCs w:val="22"/>
        </w:rPr>
        <w:t xml:space="preserve">远程控制属于高风险能力，应作为后续增强能力逐步进入。初期建议先实现监控展示、告警提醒和权限显示边界；真正下发控制指令前，需要确认控制接口、权限体系、现场安全机制、二次确认和审计要求。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权限类型</w:t>
            </w:r>
          </w:p>
        </w:tc>
        <w:tc>
          <w:tcPr>
            <w:tcW w:type="dxa" w:w="3008"/>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建议权限范围</w:t>
            </w:r>
          </w:p>
        </w:tc>
        <w:tc>
          <w:tcPr>
            <w:tcW w:type="dxa" w:w="3010"/>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控制要求</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管理员</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系统配置、设备控制、权限分配、报表管理、发布回滚。</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危险操作二次确认，全部写入审计日志。</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操作员</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设备状态查看、任务跟踪、故障报警接收、部分操作如报表导出或视图配置。</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是否允许任务取消、手动调度需甲方确认。</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查看员</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只读查看设备状态、历史数据、报表和三维场景。</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隐藏控制按钮和配置入口。</w:t>
            </w:r>
          </w:p>
        </w:tc>
      </w:tr>
    </w:tbl>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远程控制能力包括堆垛机紧急停止、AGV 任务取消、AGV 手动调度等。</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控制指令需记录操作人、时间、设备、指令内容、执行结果和失败原因。</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控制指令下发延迟需求为 ≤2 秒，但必须结合现场控制链路实测。</w:t>
      </w:r>
    </w:p>
    <w:p>
      <w:pPr>
        <w:pStyle w:val="ListParagraph"/>
        <w:numPr>
          <w:ilvl w:val="0"/>
          <w:numId w:val="2"/>
        </w:numPr>
        <w:spacing w:after="30" w:before="30" w:line="280"/>
      </w:pPr>
      <w:r>
        <w:rPr>
          <w:rFonts w:ascii="SimSun" w:cs="SimSun" w:eastAsia="SimSun" w:hAnsi="SimSun"/>
          <w:b w:val="false"/>
          <w:bCs w:val="false"/>
          <w:i w:val="false"/>
          <w:iCs w:val="false"/>
          <w:color w:val="000000"/>
          <w:sz w:val="22"/>
          <w:szCs w:val="22"/>
        </w:rPr>
        <w:t xml:space="preserve">涉及权限数据时，可由甲方通过接口传给客户端，数字孪生系统根据权限显示或隐藏功能。</w:t>
      </w:r>
    </w:p>
    <w:p>
      <w:pPr>
        <w:pStyle w:val="Heading1"/>
        <w:spacing w:after="140" w:before="320"/>
      </w:pPr>
      <w:r>
        <w:rPr>
          <w:rFonts w:ascii="SimSun" w:cs="SimSun" w:eastAsia="SimSun" w:hAnsi="SimSun"/>
          <w:b/>
          <w:bCs/>
          <w:i w:val="false"/>
          <w:iCs w:val="false"/>
          <w:color w:val="1F4E79"/>
          <w:sz w:val="32"/>
          <w:szCs w:val="32"/>
        </w:rPr>
        <w:t xml:space="preserve">12. 性能与安全要求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类别</w:t>
            </w:r>
          </w:p>
        </w:tc>
        <w:tc>
          <w:tcPr>
            <w:tcW w:type="dxa" w:w="3008"/>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指标</w:t>
            </w:r>
          </w:p>
        </w:tc>
        <w:tc>
          <w:tcPr>
            <w:tcW w:type="dxa" w:w="3010"/>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说明</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实时性</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物理设备状态变化到数字孪生模型更新延迟 ≤2 秒。</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设备状态、告警和位置更新应在可接受延迟内完成。</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操作响应</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用户操作响应时间 ≤1 秒。</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包括视图切换、设备选中、查询和报表触发等常用操作。</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并发渲染</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16 台堆垛机 + 120 台 AGV 同时运行时，系统帧率 ≥25fps，无明显卡顿。</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需结合模型规模、客户端硬件和网络条件实测。</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稳定运行</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连续运行无故障时间 ≥720 小时 / 月。</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约 30 天，属于生产化运行指标。</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恢复能力</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软件故障恢复时间 ≤30 分钟。</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需要部署、日志、监控和运维流程配合。</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数据完整性</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硬件故障恢复后数据补传完整性 ≥99.9%。</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依赖缓存、补传和上游数据链路。</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多客户端</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支持多个客户端同时部署和展示。</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需考虑数据推送、会话和性能隔离。</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采集成功率</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数据采集成功率 ≥99.9%。</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接口、网络和现场系统共同保障。</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断线补传</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通信中断时缓存至少 1 小时数据，恢复后自动补传。</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缓存位置和责任边界需确认。</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安全审计</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权限控制和操作审计。</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远程控制、配置修改和发布回滚必须审计。</w:t>
            </w:r>
          </w:p>
        </w:tc>
      </w:tr>
    </w:tbl>
    <w:p>
      <w:pPr>
        <w:pStyle w:val="Heading1"/>
        <w:spacing w:after="140" w:before="320"/>
      </w:pPr>
      <w:r>
        <w:rPr>
          <w:rFonts w:ascii="SimSun" w:cs="SimSun" w:eastAsia="SimSun" w:hAnsi="SimSun"/>
          <w:b/>
          <w:bCs/>
          <w:i w:val="false"/>
          <w:iCs w:val="false"/>
          <w:color w:val="1F4E79"/>
          <w:sz w:val="32"/>
          <w:szCs w:val="32"/>
        </w:rPr>
        <w:t xml:space="preserve">13. 分阶段实施建议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阶段</w:t>
            </w:r>
          </w:p>
        </w:tc>
        <w:tc>
          <w:tcPr>
            <w:tcW w:type="dxa" w:w="2256"/>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建设目标</w:t>
            </w:r>
          </w:p>
        </w:tc>
        <w:tc>
          <w:tcPr>
            <w:tcW w:type="dxa" w:w="2256"/>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主要内容</w:t>
            </w:r>
          </w:p>
        </w:tc>
        <w:tc>
          <w:tcPr>
            <w:tcW w:type="dxa" w:w="2258"/>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输出成果</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阶段一：基础三维展示与模型资产管理</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建立模型资产、场景加载和设备点击基础能力。</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GLB 上传、CAD / GLB 模型渲染、场景加载、对象树、基础视角控制、模型资产元数据。</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可加载设备 GLB，查看对象树，完成基础模型资产闭环。</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阶段二：WCS 实时数据对接与设备状态映射</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接入设备状态、坐标、任务和告警。</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WCS 接口、设备状态、坐标映射、任务状态、告警数据、RuntimeStateAdapter。</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设备模型能够根据接口数据更新状态和位置。</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阶段三：模型仿真与任务过程可视化</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展示设备任务流程和业务仿真过程。</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AGV 运行仿真、堆垛机作业仿真、提升机升降仿真、输送线运行仿真、货物搬运过程。</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可视化展示关键设备任务流转和异常过程。</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阶段四：货位、物资、报表与大屏</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扩展业务展示和管理能力。</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货位状态、物资查询、大屏互动、报表统计、虚拟摄像头、区域轮播。</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形成面向业务运行和领导大屏的综合展示能力。</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阶段五：生产化治理与扩展</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完善安全、运维、发布和性能治理。</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权限、审计、发布回滚、3D Tiles 生产化、性能优化、运维监控。</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具备生产部署、运行维护和持续扩展能力。</w:t>
            </w:r>
          </w:p>
        </w:tc>
      </w:tr>
    </w:tbl>
    <w:p>
      <w:pPr>
        <w:pStyle w:val="Heading1"/>
        <w:spacing w:after="140" w:before="320"/>
      </w:pPr>
      <w:r>
        <w:rPr>
          <w:rFonts w:ascii="SimSun" w:cs="SimSun" w:eastAsia="SimSun" w:hAnsi="SimSun"/>
          <w:b/>
          <w:bCs/>
          <w:i w:val="false"/>
          <w:iCs w:val="false"/>
          <w:color w:val="1F4E79"/>
          <w:sz w:val="32"/>
          <w:szCs w:val="32"/>
        </w:rPr>
        <w:t xml:space="preserve">14. 甲方需提供的数据与接口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类别</w:t>
            </w:r>
          </w:p>
        </w:tc>
        <w:tc>
          <w:tcPr>
            <w:tcW w:type="dxa" w:w="2256"/>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需提供内容</w:t>
            </w:r>
          </w:p>
        </w:tc>
        <w:tc>
          <w:tcPr>
            <w:tcW w:type="dxa" w:w="2256"/>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用途</w:t>
            </w:r>
          </w:p>
        </w:tc>
        <w:tc>
          <w:tcPr>
            <w:tcW w:type="dxa" w:w="2258"/>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频率 / 要求</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模型资料</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CAD / BIM / IFC / STEP / GLB 源文件，厂区、楼栋、楼层、区域尺寸。</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场景建模、3D Tiles / GLB 转换、坐标校准。</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项目初期提供，变更时同步版本。</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设备基础数据</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设备清单、设备编号、设备类型、型号、安装位置、设备坐标。</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设备实例创建、模型绑定、状态映射。</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建设期一次性导入，变更时维护。</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AGV 数据</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AGV 路线、实时坐标、方向、速度、电量、任务、充电状态、故障数据。</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AGV 轨迹、任务、充电和故障展示。</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坐标建议 ≥2 次 / 秒，状态实时或准实时。</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堆垛机数据</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X/Y/Z 坐标、货叉状态、作业任务、目标货位、故障码。</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堆垛机运行和作业仿真。</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位置 ≥1 次 / 秒，故障 ≤500ms 或按现场能力。</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提升机数据</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提升机高度、载货台状态、任务、传感器和电机异常。</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载货台升降和异常展示。</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实时或准实时。</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输送线数据</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输送线段编号、运行 / 停止 / 故障状态、货物经过信息、堵塞信息。</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输送线运行和交接点展示。</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实时或按线段事件推送。</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货位库存数据</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货位编码、空满、锁定、异常、托盘、SKU、名称、规格、数量、入库时间、订单。</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立体库、地堆、物资查询和货位详情。</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作业完成后 1 秒内同步或按接口能力确认。</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WCS 接口</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设备状态接口、任务接口、坐标接口、告警接口、时间戳字段。</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实时状态映射和模型仿真。</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WebAPI / WebSocket / SignalR / polling 方式需确认。</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WMS 接口</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入库、出库、库存、货位管理规则、库存快照。</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库存、货位、物资和订单展示。</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库存和货位状态按业务要求同步。</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MES 接口</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生产计划、配送点位、物料需求、缺料任务、配送进度。</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生产物流联动和 AGV 配送展示。</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按生产节拍或事件推送。</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ERP 接口</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库存总量、SKU 明细、设备效率、故障成本、报表数据。</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经营报表和月度统计展示。</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默认库存每小时，效率和成本按月。</w:t>
            </w:r>
          </w:p>
        </w:tc>
      </w:tr>
      <w:tr>
        <w:trPr>
          <w:tblHeader w:val="false"/>
        </w:trPr>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告警与权限</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告警码字典、故障处理建议、权限用户清单、角色和功能权限。</w:t>
            </w:r>
          </w:p>
        </w:tc>
        <w:tc>
          <w:tcPr>
            <w:tcW w:type="dxa" w:w="225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告警展示、处理建议、按权限显示功能。</w:t>
            </w:r>
          </w:p>
        </w:tc>
        <w:tc>
          <w:tcPr>
            <w:tcW w:type="dxa" w:w="225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建设期导入，变更时同步。</w:t>
            </w:r>
          </w:p>
        </w:tc>
      </w:tr>
    </w:tbl>
    <w:p>
      <w:pPr>
        <w:pStyle w:val="Heading1"/>
        <w:spacing w:after="140" w:before="320"/>
      </w:pPr>
      <w:r>
        <w:rPr>
          <w:rFonts w:ascii="SimSun" w:cs="SimSun" w:eastAsia="SimSun" w:hAnsi="SimSun"/>
          <w:b/>
          <w:bCs/>
          <w:i w:val="false"/>
          <w:iCs w:val="false"/>
          <w:color w:val="1F4E79"/>
          <w:sz w:val="32"/>
          <w:szCs w:val="32"/>
        </w:rPr>
        <w:t xml:space="preserve">15. 风险与边界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风险 / 边界</w:t>
            </w:r>
          </w:p>
        </w:tc>
        <w:tc>
          <w:tcPr>
            <w:tcW w:type="dxa" w:w="3008"/>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说明</w:t>
            </w:r>
          </w:p>
        </w:tc>
        <w:tc>
          <w:tcPr>
            <w:tcW w:type="dxa" w:w="3010"/>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控制建议</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CAD 转换复杂</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不同 CAD / BIM / IFC / STEP / DWG / RVT 格式兼容性差。</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先明确源文件格式和样例，建立工具链验证流程。</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浏览器转换能力有限</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浏览器不适合长期承担复杂 CAD 转换、压缩、切片和 LOD。</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由后端 Worker 或离线工具链处理资产。</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大场景 GLB 风险</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全厂区使用巨大 GLB 会导致首屏慢、内存高、交互卡顿。</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静态大场景优先 3D Tiles，设备使用 GLB。</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坐标系不一致</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CAD、3D Tiles、GLB、WCS 坐标可能存在方向、单位和原点差异。</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建立统一坐标基准和转换规则，早期做对齐验证。</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仿真准确性依赖数据</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设备运动与业务状态依赖 WCS / 上游系统数据质量。</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明确字段、频率、时间戳和异常处理机制。</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离散状态插值</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如果上游只提供离散状态，前端只能做插值展示。</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在接口协议中明确位置频率和插值策略。</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算法责任边界</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路径优化、调度算法、产能分析若要求独立计算，工作量显著扩大。</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默认由第三方调度系统 / WCS / 上游系统提供计算结果，本系统负责呈现；若本系统计算需另立专项。</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调度算法责任误解</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若将调度、路径规划、冲突规避误认为数字孪生系统职责，会显著扩大项目范围。</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明确由第三方调度 / WCS / 上游系统提供结果，数字孪生系统只负责呈现和追踪。</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远程控制安全</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紧急停止、任务取消、手动调度涉及现场安全。</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权限、二次确认、审计、接口确认和现场联调不可缺少。</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性能验收不确定</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性能受模型规模、硬件、网络、浏览器和现场部署影响。</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建立模型预算、性能门禁和现场实测验收标准。</w:t>
            </w:r>
          </w:p>
        </w:tc>
      </w:tr>
    </w:tbl>
    <w:p>
      <w:pPr>
        <w:pStyle w:val="Heading1"/>
        <w:spacing w:after="140" w:before="320"/>
      </w:pPr>
      <w:r>
        <w:rPr>
          <w:rFonts w:ascii="SimSun" w:cs="SimSun" w:eastAsia="SimSun" w:hAnsi="SimSun"/>
          <w:b/>
          <w:bCs/>
          <w:i w:val="false"/>
          <w:iCs w:val="false"/>
          <w:color w:val="1F4E79"/>
          <w:sz w:val="32"/>
          <w:szCs w:val="32"/>
        </w:rPr>
        <w:t xml:space="preserve">16. 需求逐条映射表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原始需求来源</w:t>
            </w:r>
          </w:p>
        </w:tc>
        <w:tc>
          <w:tcPr>
            <w:tcW w:type="dxa" w:w="1805"/>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原始需求点</w:t>
            </w:r>
          </w:p>
        </w:tc>
        <w:tc>
          <w:tcPr>
            <w:tcW w:type="dxa" w:w="1805"/>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方案章节</w:t>
            </w:r>
          </w:p>
        </w:tc>
        <w:tc>
          <w:tcPr>
            <w:tcW w:type="dxa" w:w="1805"/>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覆盖情况</w:t>
            </w:r>
          </w:p>
        </w:tc>
        <w:tc>
          <w:tcPr>
            <w:tcW w:type="dxa" w:w="1806"/>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备注</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7.3 场景描述</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场景建模、按项目 CAD 所涉及区域建模渲染。</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4.1、13、15</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CAD 渲染进入正式方案，MVP 分阶段处理。</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7.3 场景描述</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数据展示、AGV、堆垛机、输送线、提升机、立体库和地堆。</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2、7、9</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以 Markdown 归纳为主，截图校验补充。</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7.3 场景描述</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AGV 路线、轨迹、取货、卸货、搬运物料信息。</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7.1、6、8</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依赖 WCS / AGV 系统实时数据。</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7.3 场景描述</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AGV 运行状态、X/Y 坐标、任务号、电量、详情。</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7.1、12</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采集频率和字段以接口协议为准。</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7.3 场景描述</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堆垛机运行、行走、取放货、异常实时提醒。</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7.2、5、6</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需可动部件与任务动画支持。</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7.3 场景描述</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输送线运行状态、行动动作、异常提醒。</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7.4</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需补充输送线段状态字段。</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7.3 场景描述</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提升机运行状态、运行动作、异常提醒。</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7.3</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通过 WCS 高度数据驱动。</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7.3 场景描述</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立体库和地堆库位、有货无货、物料高亮和详情。</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7.5、14</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依赖 WMS / 库存接口。</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7.3 场景描述</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电视大屏互动、一键自动视角、料架点击。</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9、13</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大屏和触摸能力需现场确认。</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7.3 场景描述</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缩放、旋转、不同角度、触摸或鼠标操作。</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9</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结合 Three.js 相机控制实现。</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7.3 场景描述</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物资查询、模糊匹配定位、高亮或特殊标注。</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7.5、9、14</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需要查询接口。</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7.3 场景描述</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警报管理、异常记录、时间、处理记录。</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6、9、10、14</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告警处理流程可后续扩展。</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7.3 场景描述</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虚拟摄像头。</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9、13</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作为预设视角和巡检视角能力。</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3.1 高精度建模</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1:1、关键尺寸 ±5mm、运动部件、物理属性。</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4、14、15</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需甲方提供模型和尺寸基准。</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3.2 实时渲染与交互</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光影、材质、动态效果、≥25fps。</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3、4、12、15</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与模型预算和现场硬件相关。</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3.3 多模式切换</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巡检路线、设备跟随、自定义区域轮播、键鼠操作。</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9、13</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可作为视角系统设计内容。</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3.4 平台兼容性</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Windows 10 及以上、webapi / websocket 对接。</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6、8、12</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后续可按现场协议扩展。</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4 堆垛机要求</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堆垛机状态实时映射、坐标、任务、货位、故障。</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7.2、6、14</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需 WCS 数据接口。</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4.2 作业流程</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入库站台取货、移动至目标货位、放货、返回待机位。</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5、7.2</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路径颜色业务含义列为待确认。</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4.2 仿真</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路径结果展示、产能分析结果呈现、业务分段任务过程呈现。</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5、7.2、15</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由第三方调度 / WCS / 上游系统提供计算结果，本系统负责展示。</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4.3 维护</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运行时长、维护周期、维护预警、维护手册。</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10、13、14</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可纳入后续管理功能。</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5 AGV 要求</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动态轨迹、任务管理、调度结果呈现、充电、故障、效率。</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7.1、10、15</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由第三方调度 / WCS / 上游系统提供计算结果，本系统负责展示。</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6 监控管理</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全局监控、精准定位、报表、权限、远程控制。</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9、10、11、14</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远程控制建议后续增强。</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7 数据集成</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物理设备通信、WMS、MES、ERP 对接。</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8、14</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数据由上游系统提供。</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8.1 性能</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延迟≤2秒、操作≤1秒、16堆垛机+120AGV≥25fps。</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12</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需现场验收实测。</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8.1 稳定性</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720小时/月、恢复≤30分钟、补传≥99.9%。</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12</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生产化要求。</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补充 Markdown v0.2</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模型仿真与 WCS 实时对接。</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5、6、8</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本次重点新增。</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补充 Markdown v0.2</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CAD 渲染规划建筑物、GLB 设备模型渲染。</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4</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采用 3D Tiles + GLB 分工。</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总体技术方案 v1.2</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Three.js + GLB + 3D Tiles + .NET 8 后端。</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3、4、13</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作为正式技术路线。</w:t>
            </w:r>
          </w:p>
        </w:tc>
      </w:tr>
      <w:tr>
        <w:trPr>
          <w:tblHeader w:val="false"/>
        </w:trPr>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MVP 任务索引</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模型资产、manifest、object-tree、可动部件、场景设备绑定。</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4.3、13</w:t>
            </w:r>
          </w:p>
        </w:tc>
        <w:tc>
          <w:tcPr>
            <w:tcW w:type="dxa" w:w="180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已覆盖</w:t>
            </w:r>
          </w:p>
        </w:tc>
        <w:tc>
          <w:tcPr>
            <w:tcW w:type="dxa" w:w="180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只作为阶段参考，不执行任务。</w:t>
            </w:r>
          </w:p>
        </w:tc>
      </w:tr>
    </w:tbl>
    <w:p>
      <w:pPr>
        <w:pStyle w:val="Heading1"/>
        <w:spacing w:after="140" w:before="320"/>
      </w:pPr>
      <w:r>
        <w:rPr>
          <w:rFonts w:ascii="SimSun" w:cs="SimSun" w:eastAsia="SimSun" w:hAnsi="SimSun"/>
          <w:b/>
          <w:bCs/>
          <w:i w:val="false"/>
          <w:iCs w:val="false"/>
          <w:color w:val="1F4E79"/>
          <w:sz w:val="32"/>
          <w:szCs w:val="32"/>
        </w:rPr>
        <w:t xml:space="preserve">17. 结论</w:t>
      </w:r>
    </w:p>
    <w:p>
      <w:pPr>
        <w:spacing w:after="80" w:before="80" w:line="300"/>
        <w:jc w:val="left"/>
      </w:pPr>
      <w:r>
        <w:rPr>
          <w:rFonts w:ascii="SimSun" w:cs="SimSun" w:eastAsia="SimSun" w:hAnsi="SimSun"/>
          <w:b w:val="false"/>
          <w:bCs w:val="false"/>
          <w:i w:val="false"/>
          <w:iCs w:val="false"/>
          <w:color w:val="000000"/>
          <w:sz w:val="22"/>
          <w:szCs w:val="22"/>
        </w:rPr>
        <w:t xml:space="preserve">本方案建议采用 Three.js + GLB + 3D Tiles + .NET 8 后端的总体路线：Three.js 继续作为主三维引擎；CAD 建筑和厂区静态场景优先转换为 3D Tiles；提升机、堆垛机、AGV、输送线关键段等业务设备使用 GLB；模型仿真由 WCS / 上游系统数据驱动；数字孪生系统负责三维展示、状态映射、任务可视化、告警提醒、查询定位和报表展示。</w:t>
      </w:r>
    </w:p>
    <w:p>
      <w:pPr>
        <w:spacing w:after="80" w:before="80" w:line="300"/>
        <w:jc w:val="left"/>
      </w:pPr>
      <w:r>
        <w:rPr>
          <w:rFonts w:ascii="SimSun" w:cs="SimSun" w:eastAsia="SimSun" w:hAnsi="SimSun"/>
          <w:b w:val="false"/>
          <w:bCs w:val="false"/>
          <w:i w:val="false"/>
          <w:iCs w:val="false"/>
          <w:color w:val="000000"/>
          <w:sz w:val="22"/>
          <w:szCs w:val="22"/>
        </w:rPr>
        <w:t xml:space="preserve">项目应分阶段落地，先完成基础三维展示与模型资产管理，再接入 WCS 实时数据和设备状态映射，随后扩展模型仿真、大屏、报表、权限、审计和生产化治理。对于依赖上游系统的数据、调度结果、路径结果和产能分析结果，应在接口协议、责任边界和验收标准中提前明确。</w:t>
      </w:r>
    </w:p>
    <w:p>
      <w:pPr>
        <w:spacing w:after="80" w:before="80" w:line="300"/>
        <w:jc w:val="left"/>
      </w:pPr>
      <w:r>
        <w:rPr>
          <w:rFonts w:ascii="SimSun" w:cs="SimSun" w:eastAsia="SimSun" w:hAnsi="SimSun"/>
          <w:b w:val="false"/>
          <w:bCs w:val="false"/>
          <w:i w:val="false"/>
          <w:iCs w:val="false"/>
          <w:color w:val="000000"/>
          <w:sz w:val="22"/>
          <w:szCs w:val="22"/>
        </w:rPr>
        <w:t xml:space="preserve">---</w:t>
      </w:r>
    </w:p>
    <w:p>
      <w:r>
        <w:br w:type="page"/>
      </w:r>
    </w:p>
    <w:p>
      <w:pPr>
        <w:pStyle w:val="Heading1"/>
        <w:spacing w:after="140" w:before="320"/>
      </w:pPr>
      <w:r>
        <w:rPr>
          <w:rFonts w:ascii="SimSun" w:cs="SimSun" w:eastAsia="SimSun" w:hAnsi="SimSun"/>
          <w:b/>
          <w:bCs/>
          <w:i w:val="false"/>
          <w:iCs w:val="false"/>
          <w:color w:val="1F4E79"/>
          <w:sz w:val="32"/>
          <w:szCs w:val="32"/>
        </w:rPr>
        <w:t xml:space="preserve">附录：需求截图</w:t>
      </w:r>
    </w:p>
    <w:p>
      <w:pPr>
        <w:spacing w:after="80" w:before="80" w:line="300"/>
        <w:jc w:val="left"/>
      </w:pPr>
      <w:r>
        <w:rPr>
          <w:rFonts w:ascii="SimSun" w:cs="SimSun" w:eastAsia="SimSun" w:hAnsi="SimSun"/>
          <w:b w:val="false"/>
          <w:bCs w:val="false"/>
          <w:i w:val="false"/>
          <w:iCs w:val="false"/>
          <w:color w:val="000000"/>
          <w:sz w:val="22"/>
          <w:szCs w:val="22"/>
        </w:rPr>
        <w:t xml:space="preserve">本附录嵌入需求截图压缩包中的 12 张截图。截图用于校验业务需求覆盖情况；如截图与补充 Markdown 存在重复，以补充 Markdown 的归纳为主，截图原文作为业务点校验依据。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截图编号</w:t>
            </w:r>
          </w:p>
        </w:tc>
        <w:tc>
          <w:tcPr>
            <w:tcW w:type="dxa" w:w="3008"/>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主要需求点</w:t>
            </w:r>
          </w:p>
        </w:tc>
        <w:tc>
          <w:tcPr>
            <w:tcW w:type="dxa" w:w="3010"/>
            <w:tcBorders>
              <w:top w:val="single" w:color="BFBFBF" w:sz="1"/>
              <w:left w:val="single" w:color="BFBFBF" w:sz="1"/>
              <w:bottom w:val="single" w:color="BFBFBF" w:sz="1"/>
              <w:right w:val="single" w:color="BFBFBF" w:sz="1"/>
            </w:tcBorders>
            <w:shd w:fill="D9EAF7" w:val="clear"/>
            <w:tcMar>
              <w:top w:type="dxa" w:w="90"/>
              <w:left w:type="dxa" w:w="100"/>
              <w:bottom w:type="dxa" w:w="90"/>
              <w:right w:type="dxa" w:w="100"/>
            </w:tcMar>
          </w:tcPr>
          <w:p>
            <w:pPr>
              <w:spacing w:after="0" w:before="0" w:line="245"/>
            </w:pPr>
            <w:r>
              <w:rPr>
                <w:rFonts w:ascii="SimSun" w:cs="SimSun" w:eastAsia="SimSun" w:hAnsi="SimSun"/>
                <w:b/>
                <w:bCs/>
                <w:sz w:val="18"/>
                <w:szCs w:val="18"/>
              </w:rPr>
              <w:t xml:space="preserve">对应方案章节</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1</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数据统计与报表输出、远程控制与权限管理</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10、11、12、16</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2</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系统性能、稳定性、多客户端部署</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12、16</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3</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堆垛机状态映射、作业流程、路径结果展示、产能分析结果呈现</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5、7.2、16</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4</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平台兼容性、WebAPI / WebSocket 等协议对接</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6、8、12、16</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5</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AGV 效率指标展示、第三方路径优化结果展示、全局监控与精准定位</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7.1、9、10、16</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6</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WMS / MES 数据对接、权限分级要求</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8、11、16</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7</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业务仿真模拟、维护与追溯能力</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5、10、13、16</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8</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场景建模、AGV、堆垛机、输送线、提升机、立体库和地堆展示</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2、7、16</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9</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高精度建模、实时渲染、多模式切换、Windows 兼容</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4、9、12、16</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10</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ERP 对接、库存和效率报表同步</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8、10、14、16</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11</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电视大屏互动、缩放旋转、物资查询、警报管理、虚拟摄像头</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9、10、16</w:t>
            </w:r>
          </w:p>
        </w:tc>
      </w:tr>
      <w:tr>
        <w:trPr>
          <w:tblHeader w:val="false"/>
        </w:trPr>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截图 12</w:t>
            </w:r>
          </w:p>
        </w:tc>
        <w:tc>
          <w:tcPr>
            <w:tcW w:type="dxa" w:w="300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AGV 轨迹、任务管理、调度结果呈现、充电与故障管理</w:t>
            </w:r>
          </w:p>
        </w:tc>
        <w:tc>
          <w:tcPr>
            <w:tcW w:type="dxa" w:w="3010"/>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5"/>
            </w:pPr>
            <w:r>
              <w:rPr>
                <w:rFonts w:ascii="SimSun" w:cs="SimSun" w:eastAsia="SimSun" w:hAnsi="SimSun"/>
                <w:b w:val="false"/>
                <w:bCs w:val="false"/>
                <w:sz w:val="17"/>
                <w:szCs w:val="17"/>
              </w:rPr>
              <w:t xml:space="preserve">7.1、10、16</w:t>
            </w:r>
          </w:p>
        </w:tc>
      </w:tr>
    </w:tbl>
    <w:p>
      <w:pPr>
        <w:pStyle w:val="Heading3"/>
        <w:spacing w:after="140" w:before="220"/>
      </w:pPr>
      <w:r>
        <w:rPr>
          <w:rFonts w:ascii="SimSun" w:cs="SimSun" w:eastAsia="SimSun" w:hAnsi="SimSun"/>
          <w:b/>
          <w:bCs/>
          <w:i w:val="false"/>
          <w:iCs w:val="false"/>
          <w:color w:val="000000"/>
          <w:sz w:val="24"/>
          <w:szCs w:val="24"/>
        </w:rPr>
        <w:t xml:space="preserve">截图 1</w:t>
      </w:r>
    </w:p>
    <w:p>
      <w:pPr>
        <w:spacing w:after="80" w:before="80" w:line="300"/>
        <w:jc w:val="left"/>
      </w:pPr>
      <w:r>
        <w:rPr>
          <w:rFonts w:ascii="SimSun" w:cs="SimSun" w:eastAsia="SimSun" w:hAnsi="SimSun"/>
          <w:b w:val="false"/>
          <w:bCs w:val="false"/>
          <w:i w:val="false"/>
          <w:iCs w:val="false"/>
          <w:color w:val="000000"/>
          <w:sz w:val="22"/>
          <w:szCs w:val="22"/>
        </w:rPr>
        <w:t xml:space="preserve">主要需求点：数据统计与报表输出、远程控制与权限管理 对应方案章节：10、11、12、16</w:t>
      </w:r>
    </w:p>
    <w:p>
      <w:pPr>
        <w:spacing w:after="80" w:before="80"/>
        <w:jc w:val="center"/>
      </w:pPr>
      <w:r>
        <w:drawing>
          <wp:inline distT="0" distB="0" distL="0" distR="0">
            <wp:extent cx="5334000" cy="5019675"/>
            <wp:effectExtent t="0" r="0" b="0" l="0"/>
            <wp:docPr id="1" name="idts-requirement-supplement-v0.2-with-screenshots.zip (1).png" descr="idts-requirement-supplement-v0.2-with-screenshots.zip (1).png" title="idts-requirement-supplement-v0.2-with-screenshots.zip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019675"/>
                    </a:xfrm>
                    <a:prstGeom prst="rect">
                      <a:avLst/>
                    </a:prstGeom>
                  </pic:spPr>
                </pic:pic>
              </a:graphicData>
            </a:graphic>
          </wp:inline>
        </w:drawing>
      </w:r>
    </w:p>
    <w:p>
      <w:pPr>
        <w:pStyle w:val="Heading3"/>
        <w:spacing w:after="140" w:before="220"/>
      </w:pPr>
      <w:r>
        <w:rPr>
          <w:rFonts w:ascii="SimSun" w:cs="SimSun" w:eastAsia="SimSun" w:hAnsi="SimSun"/>
          <w:b/>
          <w:bCs/>
          <w:i w:val="false"/>
          <w:iCs w:val="false"/>
          <w:color w:val="000000"/>
          <w:sz w:val="24"/>
          <w:szCs w:val="24"/>
        </w:rPr>
        <w:t xml:space="preserve">截图 2</w:t>
      </w:r>
    </w:p>
    <w:p>
      <w:pPr>
        <w:spacing w:after="80" w:before="80" w:line="300"/>
        <w:jc w:val="left"/>
      </w:pPr>
      <w:r>
        <w:rPr>
          <w:rFonts w:ascii="SimSun" w:cs="SimSun" w:eastAsia="SimSun" w:hAnsi="SimSun"/>
          <w:b w:val="false"/>
          <w:bCs w:val="false"/>
          <w:i w:val="false"/>
          <w:iCs w:val="false"/>
          <w:color w:val="000000"/>
          <w:sz w:val="22"/>
          <w:szCs w:val="22"/>
        </w:rPr>
        <w:t xml:space="preserve">主要需求点：系统性能、稳定性、多客户端部署 对应方案章节：12、16</w:t>
      </w:r>
    </w:p>
    <w:p>
      <w:pPr>
        <w:spacing w:after="80" w:before="80"/>
        <w:jc w:val="center"/>
      </w:pPr>
      <w:r>
        <w:drawing>
          <wp:inline distT="0" distB="0" distL="0" distR="0">
            <wp:extent cx="5334000" cy="2533650"/>
            <wp:effectExtent t="0" r="0" b="0" l="0"/>
            <wp:docPr id="1" name="idts-requirement-supplement-v0.2-with-screenshots.zip (2).png" descr="idts-requirement-supplement-v0.2-with-screenshots.zip (2).png" title="idts-requirement-supplement-v0.2-with-screenshots.zip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33650"/>
                    </a:xfrm>
                    <a:prstGeom prst="rect">
                      <a:avLst/>
                    </a:prstGeom>
                  </pic:spPr>
                </pic:pic>
              </a:graphicData>
            </a:graphic>
          </wp:inline>
        </w:drawing>
      </w:r>
    </w:p>
    <w:p>
      <w:pPr>
        <w:pStyle w:val="Heading3"/>
        <w:spacing w:after="140" w:before="220"/>
      </w:pPr>
      <w:r>
        <w:rPr>
          <w:rFonts w:ascii="SimSun" w:cs="SimSun" w:eastAsia="SimSun" w:hAnsi="SimSun"/>
          <w:b/>
          <w:bCs/>
          <w:i w:val="false"/>
          <w:iCs w:val="false"/>
          <w:color w:val="000000"/>
          <w:sz w:val="24"/>
          <w:szCs w:val="24"/>
        </w:rPr>
        <w:t xml:space="preserve">截图 3</w:t>
      </w:r>
    </w:p>
    <w:p>
      <w:pPr>
        <w:spacing w:after="80" w:before="80" w:line="300"/>
        <w:jc w:val="left"/>
      </w:pPr>
      <w:r>
        <w:rPr>
          <w:rFonts w:ascii="SimSun" w:cs="SimSun" w:eastAsia="SimSun" w:hAnsi="SimSun"/>
          <w:b w:val="false"/>
          <w:bCs w:val="false"/>
          <w:i w:val="false"/>
          <w:iCs w:val="false"/>
          <w:color w:val="000000"/>
          <w:sz w:val="22"/>
          <w:szCs w:val="22"/>
        </w:rPr>
        <w:t xml:space="preserve">主要需求点：堆垛机状态映射、作业流程、路径结果展示、产能分析结果呈现 对应方案章节：5、7.2、16</w:t>
      </w:r>
    </w:p>
    <w:p>
      <w:pPr>
        <w:spacing w:after="80" w:before="80"/>
        <w:jc w:val="center"/>
      </w:pPr>
      <w:r>
        <w:drawing>
          <wp:inline distT="0" distB="0" distL="0" distR="0">
            <wp:extent cx="5334000" cy="5467350"/>
            <wp:effectExtent t="0" r="0" b="0" l="0"/>
            <wp:docPr id="1" name="idts-requirement-supplement-v0.2-with-screenshots.zip (3).png" descr="idts-requirement-supplement-v0.2-with-screenshots.zip (3).png" title="idts-requirement-supplement-v0.2-with-screenshots.zip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467350"/>
                    </a:xfrm>
                    <a:prstGeom prst="rect">
                      <a:avLst/>
                    </a:prstGeom>
                  </pic:spPr>
                </pic:pic>
              </a:graphicData>
            </a:graphic>
          </wp:inline>
        </w:drawing>
      </w:r>
    </w:p>
    <w:p>
      <w:pPr>
        <w:pStyle w:val="Heading3"/>
        <w:spacing w:after="140" w:before="220"/>
      </w:pPr>
      <w:r>
        <w:rPr>
          <w:rFonts w:ascii="SimSun" w:cs="SimSun" w:eastAsia="SimSun" w:hAnsi="SimSun"/>
          <w:b/>
          <w:bCs/>
          <w:i w:val="false"/>
          <w:iCs w:val="false"/>
          <w:color w:val="000000"/>
          <w:sz w:val="24"/>
          <w:szCs w:val="24"/>
        </w:rPr>
        <w:t xml:space="preserve">截图 4</w:t>
      </w:r>
    </w:p>
    <w:p>
      <w:pPr>
        <w:spacing w:after="80" w:before="80" w:line="300"/>
        <w:jc w:val="left"/>
      </w:pPr>
      <w:r>
        <w:rPr>
          <w:rFonts w:ascii="SimSun" w:cs="SimSun" w:eastAsia="SimSun" w:hAnsi="SimSun"/>
          <w:b w:val="false"/>
          <w:bCs w:val="false"/>
          <w:i w:val="false"/>
          <w:iCs w:val="false"/>
          <w:color w:val="000000"/>
          <w:sz w:val="22"/>
          <w:szCs w:val="22"/>
        </w:rPr>
        <w:t xml:space="preserve">主要需求点：平台兼容性、WebAPI / WebSocket 等协议对接 对应方案章节：6、8、12、16</w:t>
      </w:r>
    </w:p>
    <w:p>
      <w:pPr>
        <w:spacing w:after="80" w:before="80"/>
        <w:jc w:val="center"/>
      </w:pPr>
      <w:r>
        <w:drawing>
          <wp:inline distT="0" distB="0" distL="0" distR="0">
            <wp:extent cx="5334000" cy="1019175"/>
            <wp:effectExtent t="0" r="0" b="0" l="0"/>
            <wp:docPr id="1" name="idts-requirement-supplement-v0.2-with-screenshots.zip (4).png" descr="idts-requirement-supplement-v0.2-with-screenshots.zip (4).png" title="idts-requirement-supplement-v0.2-with-screenshots.zip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019175"/>
                    </a:xfrm>
                    <a:prstGeom prst="rect">
                      <a:avLst/>
                    </a:prstGeom>
                  </pic:spPr>
                </pic:pic>
              </a:graphicData>
            </a:graphic>
          </wp:inline>
        </w:drawing>
      </w:r>
    </w:p>
    <w:p>
      <w:pPr>
        <w:pStyle w:val="Heading3"/>
        <w:spacing w:after="140" w:before="220"/>
      </w:pPr>
      <w:r>
        <w:rPr>
          <w:rFonts w:ascii="SimSun" w:cs="SimSun" w:eastAsia="SimSun" w:hAnsi="SimSun"/>
          <w:b/>
          <w:bCs/>
          <w:i w:val="false"/>
          <w:iCs w:val="false"/>
          <w:color w:val="000000"/>
          <w:sz w:val="24"/>
          <w:szCs w:val="24"/>
        </w:rPr>
        <w:t xml:space="preserve">截图 5</w:t>
      </w:r>
    </w:p>
    <w:p>
      <w:pPr>
        <w:spacing w:after="80" w:before="80" w:line="300"/>
        <w:jc w:val="left"/>
      </w:pPr>
      <w:r>
        <w:rPr>
          <w:rFonts w:ascii="SimSun" w:cs="SimSun" w:eastAsia="SimSun" w:hAnsi="SimSun"/>
          <w:b w:val="false"/>
          <w:bCs w:val="false"/>
          <w:i w:val="false"/>
          <w:iCs w:val="false"/>
          <w:color w:val="000000"/>
          <w:sz w:val="22"/>
          <w:szCs w:val="22"/>
        </w:rPr>
        <w:t xml:space="preserve">主要需求点：AGV 效率指标展示、第三方路径优化结果展示、全局监控与精准定位 对应方案章节：7.1、9、10、16</w:t>
      </w:r>
    </w:p>
    <w:p>
      <w:pPr>
        <w:spacing w:after="80" w:before="80"/>
        <w:jc w:val="center"/>
      </w:pPr>
      <w:r>
        <w:drawing>
          <wp:inline distT="0" distB="0" distL="0" distR="0">
            <wp:extent cx="5334000" cy="5029200"/>
            <wp:effectExtent t="0" r="0" b="0" l="0"/>
            <wp:docPr id="1" name="idts-requirement-supplement-v0.2-with-screenshots.zip (5).png" descr="idts-requirement-supplement-v0.2-with-screenshots.zip (5).png" title="idts-requirement-supplement-v0.2-with-screenshots.zip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029200"/>
                    </a:xfrm>
                    <a:prstGeom prst="rect">
                      <a:avLst/>
                    </a:prstGeom>
                  </pic:spPr>
                </pic:pic>
              </a:graphicData>
            </a:graphic>
          </wp:inline>
        </w:drawing>
      </w:r>
    </w:p>
    <w:p>
      <w:pPr>
        <w:pStyle w:val="Heading3"/>
        <w:spacing w:after="140" w:before="220"/>
      </w:pPr>
      <w:r>
        <w:rPr>
          <w:rFonts w:ascii="SimSun" w:cs="SimSun" w:eastAsia="SimSun" w:hAnsi="SimSun"/>
          <w:b/>
          <w:bCs/>
          <w:i w:val="false"/>
          <w:iCs w:val="false"/>
          <w:color w:val="000000"/>
          <w:sz w:val="24"/>
          <w:szCs w:val="24"/>
        </w:rPr>
        <w:t xml:space="preserve">截图 6</w:t>
      </w:r>
    </w:p>
    <w:p>
      <w:pPr>
        <w:spacing w:after="80" w:before="80" w:line="300"/>
        <w:jc w:val="left"/>
      </w:pPr>
      <w:r>
        <w:rPr>
          <w:rFonts w:ascii="SimSun" w:cs="SimSun" w:eastAsia="SimSun" w:hAnsi="SimSun"/>
          <w:b w:val="false"/>
          <w:bCs w:val="false"/>
          <w:i w:val="false"/>
          <w:iCs w:val="false"/>
          <w:color w:val="000000"/>
          <w:sz w:val="22"/>
          <w:szCs w:val="22"/>
        </w:rPr>
        <w:t xml:space="preserve">主要需求点：WMS / MES 数据对接、权限分级要求 对应方案章节：8、11、16</w:t>
      </w:r>
    </w:p>
    <w:p>
      <w:pPr>
        <w:spacing w:after="80" w:before="80"/>
        <w:jc w:val="center"/>
      </w:pPr>
      <w:r>
        <w:drawing>
          <wp:inline distT="0" distB="0" distL="0" distR="0">
            <wp:extent cx="5334000" cy="5210175"/>
            <wp:effectExtent t="0" r="0" b="0" l="0"/>
            <wp:docPr id="1" name="idts-requirement-supplement-v0.2-with-screenshots.zip (6).png" descr="idts-requirement-supplement-v0.2-with-screenshots.zip (6).png" title="idts-requirement-supplement-v0.2-with-screenshots.zip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5210175"/>
                    </a:xfrm>
                    <a:prstGeom prst="rect">
                      <a:avLst/>
                    </a:prstGeom>
                  </pic:spPr>
                </pic:pic>
              </a:graphicData>
            </a:graphic>
          </wp:inline>
        </w:drawing>
      </w:r>
    </w:p>
    <w:p>
      <w:pPr>
        <w:pStyle w:val="Heading3"/>
        <w:spacing w:after="140" w:before="220"/>
      </w:pPr>
      <w:r>
        <w:rPr>
          <w:rFonts w:ascii="SimSun" w:cs="SimSun" w:eastAsia="SimSun" w:hAnsi="SimSun"/>
          <w:b/>
          <w:bCs/>
          <w:i w:val="false"/>
          <w:iCs w:val="false"/>
          <w:color w:val="000000"/>
          <w:sz w:val="24"/>
          <w:szCs w:val="24"/>
        </w:rPr>
        <w:t xml:space="preserve">截图 7</w:t>
      </w:r>
    </w:p>
    <w:p>
      <w:pPr>
        <w:spacing w:after="80" w:before="80" w:line="300"/>
        <w:jc w:val="left"/>
      </w:pPr>
      <w:r>
        <w:rPr>
          <w:rFonts w:ascii="SimSun" w:cs="SimSun" w:eastAsia="SimSun" w:hAnsi="SimSun"/>
          <w:b w:val="false"/>
          <w:bCs w:val="false"/>
          <w:i w:val="false"/>
          <w:iCs w:val="false"/>
          <w:color w:val="000000"/>
          <w:sz w:val="22"/>
          <w:szCs w:val="22"/>
        </w:rPr>
        <w:t xml:space="preserve">主要需求点：业务仿真模拟、维护与追溯能力 对应方案章节：5、10、13、16</w:t>
      </w:r>
    </w:p>
    <w:p>
      <w:pPr>
        <w:spacing w:after="80" w:before="80"/>
        <w:jc w:val="center"/>
      </w:pPr>
      <w:r>
        <w:drawing>
          <wp:inline distT="0" distB="0" distL="0" distR="0">
            <wp:extent cx="5334000" cy="4752975"/>
            <wp:effectExtent t="0" r="0" b="0" l="0"/>
            <wp:docPr id="1" name="idts-requirement-supplement-v0.2-with-screenshots.zip (7).png" descr="idts-requirement-supplement-v0.2-with-screenshots.zip (7).png" title="idts-requirement-supplement-v0.2-with-screenshots.zip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752975"/>
                    </a:xfrm>
                    <a:prstGeom prst="rect">
                      <a:avLst/>
                    </a:prstGeom>
                  </pic:spPr>
                </pic:pic>
              </a:graphicData>
            </a:graphic>
          </wp:inline>
        </w:drawing>
      </w:r>
    </w:p>
    <w:p>
      <w:pPr>
        <w:pStyle w:val="Heading3"/>
        <w:spacing w:after="140" w:before="220"/>
      </w:pPr>
      <w:r>
        <w:rPr>
          <w:rFonts w:ascii="SimSun" w:cs="SimSun" w:eastAsia="SimSun" w:hAnsi="SimSun"/>
          <w:b/>
          <w:bCs/>
          <w:i w:val="false"/>
          <w:iCs w:val="false"/>
          <w:color w:val="000000"/>
          <w:sz w:val="24"/>
          <w:szCs w:val="24"/>
        </w:rPr>
        <w:t xml:space="preserve">截图 8</w:t>
      </w:r>
    </w:p>
    <w:p>
      <w:pPr>
        <w:spacing w:after="80" w:before="80" w:line="300"/>
        <w:jc w:val="left"/>
      </w:pPr>
      <w:r>
        <w:rPr>
          <w:rFonts w:ascii="SimSun" w:cs="SimSun" w:eastAsia="SimSun" w:hAnsi="SimSun"/>
          <w:b w:val="false"/>
          <w:bCs w:val="false"/>
          <w:i w:val="false"/>
          <w:iCs w:val="false"/>
          <w:color w:val="000000"/>
          <w:sz w:val="22"/>
          <w:szCs w:val="22"/>
        </w:rPr>
        <w:t xml:space="preserve">主要需求点：场景建模、AGV、堆垛机、输送线、提升机、立体库和地堆展示 对应方案章节：2、7、16</w:t>
      </w:r>
    </w:p>
    <w:p>
      <w:pPr>
        <w:spacing w:after="80" w:before="80"/>
        <w:jc w:val="center"/>
      </w:pPr>
      <w:r>
        <w:drawing>
          <wp:inline distT="0" distB="0" distL="0" distR="0">
            <wp:extent cx="5334000" cy="5362575"/>
            <wp:effectExtent t="0" r="0" b="0" l="0"/>
            <wp:docPr id="1" name="idts-requirement-supplement-v0.2-with-screenshots.zip (8).png" descr="idts-requirement-supplement-v0.2-with-screenshots.zip (8).png" title="idts-requirement-supplement-v0.2-with-screenshots.zip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5362575"/>
                    </a:xfrm>
                    <a:prstGeom prst="rect">
                      <a:avLst/>
                    </a:prstGeom>
                  </pic:spPr>
                </pic:pic>
              </a:graphicData>
            </a:graphic>
          </wp:inline>
        </w:drawing>
      </w:r>
    </w:p>
    <w:p>
      <w:pPr>
        <w:pStyle w:val="Heading3"/>
        <w:spacing w:after="140" w:before="220"/>
      </w:pPr>
      <w:r>
        <w:rPr>
          <w:rFonts w:ascii="SimSun" w:cs="SimSun" w:eastAsia="SimSun" w:hAnsi="SimSun"/>
          <w:b/>
          <w:bCs/>
          <w:i w:val="false"/>
          <w:iCs w:val="false"/>
          <w:color w:val="000000"/>
          <w:sz w:val="24"/>
          <w:szCs w:val="24"/>
        </w:rPr>
        <w:t xml:space="preserve">截图 9</w:t>
      </w:r>
    </w:p>
    <w:p>
      <w:pPr>
        <w:spacing w:after="80" w:before="80" w:line="300"/>
        <w:jc w:val="left"/>
      </w:pPr>
      <w:r>
        <w:rPr>
          <w:rFonts w:ascii="SimSun" w:cs="SimSun" w:eastAsia="SimSun" w:hAnsi="SimSun"/>
          <w:b w:val="false"/>
          <w:bCs w:val="false"/>
          <w:i w:val="false"/>
          <w:iCs w:val="false"/>
          <w:color w:val="000000"/>
          <w:sz w:val="22"/>
          <w:szCs w:val="22"/>
        </w:rPr>
        <w:t xml:space="preserve">主要需求点：高精度建模、实时渲染、多模式切换、Windows 兼容 对应方案章节：4、9、12、16</w:t>
      </w:r>
    </w:p>
    <w:p>
      <w:pPr>
        <w:spacing w:after="80" w:before="80"/>
        <w:jc w:val="center"/>
      </w:pPr>
      <w:r>
        <w:drawing>
          <wp:inline distT="0" distB="0" distL="0" distR="0">
            <wp:extent cx="5334000" cy="5572125"/>
            <wp:effectExtent t="0" r="0" b="0" l="0"/>
            <wp:docPr id="1" name="idts-requirement-supplement-v0.2-with-screenshots.zip (9).png" descr="idts-requirement-supplement-v0.2-with-screenshots.zip (9).png" title="idts-requirement-supplement-v0.2-with-screenshots.zip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5572125"/>
                    </a:xfrm>
                    <a:prstGeom prst="rect">
                      <a:avLst/>
                    </a:prstGeom>
                  </pic:spPr>
                </pic:pic>
              </a:graphicData>
            </a:graphic>
          </wp:inline>
        </w:drawing>
      </w:r>
    </w:p>
    <w:p>
      <w:pPr>
        <w:pStyle w:val="Heading3"/>
        <w:spacing w:after="140" w:before="220"/>
      </w:pPr>
      <w:r>
        <w:rPr>
          <w:rFonts w:ascii="SimSun" w:cs="SimSun" w:eastAsia="SimSun" w:hAnsi="SimSun"/>
          <w:b/>
          <w:bCs/>
          <w:i w:val="false"/>
          <w:iCs w:val="false"/>
          <w:color w:val="000000"/>
          <w:sz w:val="24"/>
          <w:szCs w:val="24"/>
        </w:rPr>
        <w:t xml:space="preserve">截图 10</w:t>
      </w:r>
    </w:p>
    <w:p>
      <w:pPr>
        <w:spacing w:after="80" w:before="80" w:line="300"/>
        <w:jc w:val="left"/>
      </w:pPr>
      <w:r>
        <w:rPr>
          <w:rFonts w:ascii="SimSun" w:cs="SimSun" w:eastAsia="SimSun" w:hAnsi="SimSun"/>
          <w:b w:val="false"/>
          <w:bCs w:val="false"/>
          <w:i w:val="false"/>
          <w:iCs w:val="false"/>
          <w:color w:val="000000"/>
          <w:sz w:val="22"/>
          <w:szCs w:val="22"/>
        </w:rPr>
        <w:t xml:space="preserve">主要需求点：ERP 对接、库存和效率报表同步 对应方案章节：8、10、14、16</w:t>
      </w:r>
    </w:p>
    <w:p>
      <w:pPr>
        <w:spacing w:after="80" w:before="80"/>
        <w:jc w:val="center"/>
      </w:pPr>
      <w:r>
        <w:drawing>
          <wp:inline distT="0" distB="0" distL="0" distR="0">
            <wp:extent cx="5334000" cy="2514600"/>
            <wp:effectExtent t="0" r="0" b="0" l="0"/>
            <wp:docPr id="1" name="idts-requirement-supplement-v0.2-with-screenshots.zip (10).png" descr="idts-requirement-supplement-v0.2-with-screenshots.zip (10).png" title="idts-requirement-supplement-v0.2-with-screenshots.zip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514600"/>
                    </a:xfrm>
                    <a:prstGeom prst="rect">
                      <a:avLst/>
                    </a:prstGeom>
                  </pic:spPr>
                </pic:pic>
              </a:graphicData>
            </a:graphic>
          </wp:inline>
        </w:drawing>
      </w:r>
    </w:p>
    <w:p>
      <w:pPr>
        <w:pStyle w:val="Heading3"/>
        <w:spacing w:after="140" w:before="220"/>
      </w:pPr>
      <w:r>
        <w:rPr>
          <w:rFonts w:ascii="SimSun" w:cs="SimSun" w:eastAsia="SimSun" w:hAnsi="SimSun"/>
          <w:b/>
          <w:bCs/>
          <w:i w:val="false"/>
          <w:iCs w:val="false"/>
          <w:color w:val="000000"/>
          <w:sz w:val="24"/>
          <w:szCs w:val="24"/>
        </w:rPr>
        <w:t xml:space="preserve">截图 11</w:t>
      </w:r>
    </w:p>
    <w:p>
      <w:pPr>
        <w:spacing w:after="80" w:before="80" w:line="300"/>
        <w:jc w:val="left"/>
      </w:pPr>
      <w:r>
        <w:rPr>
          <w:rFonts w:ascii="SimSun" w:cs="SimSun" w:eastAsia="SimSun" w:hAnsi="SimSun"/>
          <w:b w:val="false"/>
          <w:bCs w:val="false"/>
          <w:i w:val="false"/>
          <w:iCs w:val="false"/>
          <w:color w:val="000000"/>
          <w:sz w:val="22"/>
          <w:szCs w:val="22"/>
        </w:rPr>
        <w:t xml:space="preserve">主要需求点：电视大屏互动、缩放旋转、物资查询、警报管理、虚拟摄像头 对应方案章节：9、10、16</w:t>
      </w:r>
    </w:p>
    <w:p>
      <w:pPr>
        <w:spacing w:after="80" w:before="80"/>
        <w:jc w:val="center"/>
      </w:pPr>
      <w:r>
        <w:drawing>
          <wp:inline distT="0" distB="0" distL="0" distR="0">
            <wp:extent cx="5334000" cy="4933950"/>
            <wp:effectExtent t="0" r="0" b="0" l="0"/>
            <wp:docPr id="1" name="idts-requirement-supplement-v0.2-with-screenshots.zip (11).png" descr="idts-requirement-supplement-v0.2-with-screenshots.zip (11).png" title="idts-requirement-supplement-v0.2-with-screenshots.zip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4933950"/>
                    </a:xfrm>
                    <a:prstGeom prst="rect">
                      <a:avLst/>
                    </a:prstGeom>
                  </pic:spPr>
                </pic:pic>
              </a:graphicData>
            </a:graphic>
          </wp:inline>
        </w:drawing>
      </w:r>
    </w:p>
    <w:p>
      <w:pPr>
        <w:pStyle w:val="Heading3"/>
        <w:spacing w:after="140" w:before="220"/>
      </w:pPr>
      <w:r>
        <w:rPr>
          <w:rFonts w:ascii="SimSun" w:cs="SimSun" w:eastAsia="SimSun" w:hAnsi="SimSun"/>
          <w:b/>
          <w:bCs/>
          <w:i w:val="false"/>
          <w:iCs w:val="false"/>
          <w:color w:val="000000"/>
          <w:sz w:val="24"/>
          <w:szCs w:val="24"/>
        </w:rPr>
        <w:t xml:space="preserve">截图 12</w:t>
      </w:r>
    </w:p>
    <w:p>
      <w:pPr>
        <w:spacing w:after="80" w:before="80" w:line="300"/>
        <w:jc w:val="left"/>
      </w:pPr>
      <w:r>
        <w:rPr>
          <w:rFonts w:ascii="SimSun" w:cs="SimSun" w:eastAsia="SimSun" w:hAnsi="SimSun"/>
          <w:b w:val="false"/>
          <w:bCs w:val="false"/>
          <w:i w:val="false"/>
          <w:iCs w:val="false"/>
          <w:color w:val="000000"/>
          <w:sz w:val="22"/>
          <w:szCs w:val="22"/>
        </w:rPr>
        <w:t xml:space="preserve">主要需求点：AGV 轨迹、任务管理、调度结果呈现、充电与故障管理 对应方案章节：7.1、10、16</w:t>
      </w:r>
    </w:p>
    <w:p>
      <w:pPr>
        <w:spacing w:after="80" w:before="80"/>
        <w:jc w:val="center"/>
      </w:pPr>
      <w:r>
        <w:drawing>
          <wp:inline distT="0" distB="0" distL="0" distR="0">
            <wp:extent cx="5334000" cy="6038850"/>
            <wp:effectExtent t="0" r="0" b="0" l="0"/>
            <wp:docPr id="1" name="idts-requirement-supplement-v0.2-with-screenshots.zip (12).png" descr="idts-requirement-supplement-v0.2-with-screenshots.zip (12).png" title="idts-requirement-supplement-v0.2-with-screenshots.zip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6038850"/>
                    </a:xfrm>
                    <a:prstGeom prst="rect">
                      <a:avLst/>
                    </a:prstGeom>
                  </pic:spPr>
                </pic:pic>
              </a:graphicData>
            </a:graphic>
          </wp:inline>
        </w:drawing>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18"/>
        <w:szCs w:val="18"/>
      </w:rPr>
      <w:t xml:space="preserve">第 </w:t>
    </w:r>
    <w:r>
      <w:rPr>
        <w:rFonts w:ascii="SimSun" w:cs="SimSun" w:eastAsia="SimSun" w:hAnsi="SimSun"/>
        <w:sz w:val="18"/>
        <w:szCs w:val="18"/>
      </w:rPr>
      <w:fldChar w:fldCharType="begin"/>
      <w:instrText xml:space="preserve">PAGE</w:instrText>
      <w:fldChar w:fldCharType="separate"/>
      <w:fldChar w:fldCharType="end"/>
    </w:r>
    <w:r>
      <w:rPr>
        <w:rFonts w:ascii="SimSun" w:cs="SimSun" w:eastAsia="SimSun" w:hAnsi="SimSun"/>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right"/>
    </w:pPr>
    <w:r>
      <w:rPr>
        <w:rFonts w:ascii="SimSun" w:cs="SimSun" w:eastAsia="SimSun" w:hAnsi="SimSun"/>
        <w:color w:val="666666"/>
        <w:sz w:val="18"/>
        <w:szCs w:val="18"/>
      </w:rPr>
      <w:t xml:space="preserve">IDTS 数字孪生系统建设方案（需求补充版）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SimSun" w:cs="SimSun" w:eastAsia="SimSun" w:hAnsi="SimSun"/>
      <w:b/>
      <w:bCs/>
      <w:color w:val="1F4E79"/>
      <w:sz w:val="32"/>
      <w:szCs w:val="32"/>
    </w:rPr>
  </w:style>
  <w:style w:type="paragraph" w:styleId="Heading2">
    <w:name w:val="Heading 2"/>
    <w:basedOn w:val="Normal"/>
    <w:next w:val="Normal"/>
    <w:qFormat/>
    <w:pPr>
      <w:spacing w:after="120" w:before="220"/>
      <w:outlineLvl w:val="1"/>
    </w:pPr>
    <w:rPr>
      <w:rFonts w:ascii="SimSun" w:cs="SimSun" w:eastAsia="SimSun" w:hAnsi="SimSun"/>
      <w:b/>
      <w:bCs/>
      <w:sz w:val="28"/>
      <w:szCs w:val="28"/>
    </w:rPr>
  </w:style>
  <w:style w:type="paragraph" w:styleId="Heading3">
    <w:name w:val="Heading 3"/>
    <w:basedOn w:val="Normal"/>
    <w:next w:val="Normal"/>
    <w:qFormat/>
    <w:pPr>
      <w:spacing w:after="100" w:before="180"/>
      <w:outlineLvl w:val="2"/>
    </w:pPr>
    <w:rPr>
      <w:rFonts w:ascii="SimSun" w:cs="SimSun" w:eastAsia="SimSun" w:hAnsi="SimSu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98b34142be390940f378deefd0cfc88900a72aa.png"/><Relationship Id="rId10" Type="http://schemas.openxmlformats.org/officeDocument/2006/relationships/image" Target="media/dfdf1cf6bc91d717deb36e5b3990a0bb6153be26.png"/><Relationship Id="rId11" Type="http://schemas.openxmlformats.org/officeDocument/2006/relationships/image" Target="media/612559dabdca2068e70a1d00e36d616bc9e2c4c7.png"/><Relationship Id="rId12" Type="http://schemas.openxmlformats.org/officeDocument/2006/relationships/image" Target="media/4886870b128f3bf3d7c452e3fb88bfb782b740e0.png"/><Relationship Id="rId13" Type="http://schemas.openxmlformats.org/officeDocument/2006/relationships/image" Target="media/cf5037296394109c431d52d090cf2c6024cfd29b.png"/><Relationship Id="rId14" Type="http://schemas.openxmlformats.org/officeDocument/2006/relationships/image" Target="media/beef00732b39e04c508c1e8c1cc78e706dd35876.png"/><Relationship Id="rId15" Type="http://schemas.openxmlformats.org/officeDocument/2006/relationships/image" Target="media/c99127e05d7c5d7cd8f3bc3f1c73754e6c11ede8.png"/><Relationship Id="rId16" Type="http://schemas.openxmlformats.org/officeDocument/2006/relationships/image" Target="media/0ef943747c7009c2622dda614125bd3fafceb141.png"/><Relationship Id="rId17" Type="http://schemas.openxmlformats.org/officeDocument/2006/relationships/image" Target="media/aa2f50688059a9c1b4fad2d9bfb48173afc3057f.png"/><Relationship Id="rId18" Type="http://schemas.openxmlformats.org/officeDocument/2006/relationships/image" Target="media/a556e2e31fcd874090cfd66218041a17ad4fe833.png"/><Relationship Id="rId19" Type="http://schemas.openxmlformats.org/officeDocument/2006/relationships/image" Target="media/7bcecd8f878e4b11143c67fc4b81c18b8b01636b.png"/><Relationship Id="rId20" Type="http://schemas.openxmlformats.org/officeDocument/2006/relationships/image" Target="media/44458afac5a5e014e6dc19a5c312ea8edda5986a.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2026-07-08T07:11:53.883Z</dcterms:created>
  <dcterms:modified xsi:type="dcterms:W3CDTF">2026-07-08T07:11:53.884Z</dcterms:modified>
</cp:coreProperties>
</file>

<file path=docProps/custom.xml><?xml version="1.0" encoding="utf-8"?>
<Properties xmlns="http://schemas.openxmlformats.org/officeDocument/2006/custom-properties" xmlns:vt="http://schemas.openxmlformats.org/officeDocument/2006/docPropsVTypes"/>
</file>