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tbl>
      <w:tblPr>
        <w:tblStyle w:val="TableGrid"/>
        <w:tblpPr w:leftFromText="187" w:rightFromText="187" w:topFromText="0" w:bottomFromText="0" w:vertAnchor="page" w:horzAnchor="page" w:tblpX="1416" w:tblpY="1065"/>
        <w:tblOverlap w:val="never"/>
        <w:tblInd w:w="0" w:type="dxa"/>
      </w:tblPr>
      <w:tblGrid>
        <w:gridCol w:w="2845"/>
        <w:gridCol w:w="6397"/>
      </w:tblGrid>
      <w:tr>
        <w:trPr/>
        <w:tc>
          <w:tcPr>
            <w:cnfStyle w:val="100010000000"/>
            <w:tcW w:w="2845" w:type="dxa"/>
            <w:tcBorders>
              <w:top w:val="none" w:sz="4" w:space="0"/>
              <w:left w:val="none" w:sz="4" w:space="0"/>
              <w:right w:val="single" w:color="000000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Вариант использования</w:t>
            </w:r>
          </w:p>
        </w:tc>
        <w:tc>
          <w:tcPr>
            <w:cnfStyle w:val="100001000000"/>
            <w:tcW w:w="6397" w:type="dxa"/>
            <w:tcBorders>
              <w:top w:val="none" w:sz="4" w:space="0"/>
              <w:right w:val="none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Перенести игрока на новый вопрос в случае выбора правильного ответа</w:t>
            </w:r>
          </w:p>
        </w:tc>
      </w:tr>
      <w:tr>
        <w:trPr/>
        <w:tc>
          <w:tcPr>
            <w:cnfStyle w:val="000010000000"/>
            <w:tcW w:w="2845" w:type="dxa"/>
            <w:tcBorders>
              <w:left w:val="none" w:sz="4" w:space="0"/>
              <w:right w:val="single" w:color="000000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Область действия</w:t>
            </w:r>
          </w:p>
        </w:tc>
        <w:tc>
          <w:tcPr>
            <w:cnfStyle w:val="000001000000"/>
            <w:tcW w:w="6397" w:type="dxa"/>
            <w:tcBorders>
              <w:right w:val="none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Приложение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Windows Forms</w:t>
            </w:r>
          </w:p>
        </w:tc>
      </w:tr>
      <w:tr>
        <w:trPr/>
        <w:tc>
          <w:tcPr>
            <w:cnfStyle w:val="000010000000"/>
            <w:tcW w:w="2845" w:type="dxa"/>
            <w:tcBorders>
              <w:left w:val="none" w:sz="4" w:space="0"/>
              <w:right w:val="single" w:color="000000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Уровень</w:t>
            </w:r>
          </w:p>
        </w:tc>
        <w:tc>
          <w:tcPr>
            <w:cnfStyle w:val="000001000000"/>
            <w:tcW w:w="6397" w:type="dxa"/>
            <w:tcBorders>
              <w:right w:val="none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Цели игрока</w:t>
            </w:r>
          </w:p>
        </w:tc>
      </w:tr>
      <w:tr>
        <w:trPr/>
        <w:tc>
          <w:tcPr>
            <w:cnfStyle w:val="000010000000"/>
            <w:tcW w:w="2845" w:type="dxa"/>
            <w:tcBorders>
              <w:left w:val="none" w:sz="4" w:space="0"/>
              <w:right w:val="single" w:color="000000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Основное действующее лицо</w:t>
            </w:r>
          </w:p>
        </w:tc>
        <w:tc>
          <w:tcPr>
            <w:cnfStyle w:val="000001000000"/>
            <w:tcW w:w="6397" w:type="dxa"/>
            <w:tcBorders>
              <w:right w:val="none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Любой пользователь игрового приложения</w:t>
            </w:r>
          </w:p>
        </w:tc>
      </w:tr>
      <w:tr>
        <w:trPr/>
        <w:tc>
          <w:tcPr>
            <w:cnfStyle w:val="000010000000"/>
            <w:tcW w:w="2845" w:type="dxa"/>
            <w:tcBorders>
              <w:left w:val="none" w:sz="4" w:space="0"/>
              <w:right w:val="single" w:color="000000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Участники</w:t>
            </w:r>
          </w:p>
        </w:tc>
        <w:tc>
          <w:tcPr>
            <w:cnfStyle w:val="000001000000"/>
            <w:tcW w:w="6397" w:type="dxa"/>
            <w:tcBorders>
              <w:right w:val="none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Отсутствуют</w:t>
            </w:r>
          </w:p>
        </w:tc>
      </w:tr>
      <w:tr>
        <w:trPr/>
        <w:tc>
          <w:tcPr>
            <w:cnfStyle w:val="000010000000"/>
            <w:tcW w:w="2845" w:type="dxa"/>
            <w:tcBorders>
              <w:left w:val="none" w:sz="4" w:space="0"/>
              <w:right w:val="single" w:color="000000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cnfStyle w:val="000001000000"/>
            <w:tcW w:w="6397" w:type="dxa"/>
            <w:tcBorders>
              <w:right w:val="none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Пользователь находится в форме с нынешним вопросом с еще невыбранным ответом</w:t>
            </w:r>
          </w:p>
        </w:tc>
      </w:tr>
      <w:tr>
        <w:trPr/>
        <w:tc>
          <w:tcPr>
            <w:cnfStyle w:val="000010000000"/>
            <w:tcW w:w="2845" w:type="dxa"/>
            <w:tcBorders>
              <w:left w:val="none" w:sz="4" w:space="0"/>
              <w:right w:val="single" w:color="000000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Гарантии успеха</w:t>
            </w:r>
          </w:p>
        </w:tc>
        <w:tc>
          <w:tcPr>
            <w:cnfStyle w:val="000001000000"/>
            <w:tcW w:w="6397" w:type="dxa"/>
            <w:tcBorders>
              <w:right w:val="none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Игрок перемещен в новую форму с вопросом на ступень выше</w:t>
            </w:r>
          </w:p>
        </w:tc>
      </w:tr>
      <w:tr>
        <w:trPr/>
        <w:tc>
          <w:tcPr>
            <w:cnfStyle w:val="000010000000"/>
            <w:tcW w:w="2845" w:type="dxa"/>
            <w:tcBorders>
              <w:left w:val="none" w:sz="4" w:space="0"/>
              <w:right w:val="single" w:color="000000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Триггер</w:t>
            </w:r>
          </w:p>
        </w:tc>
        <w:tc>
          <w:tcPr>
            <w:cnfStyle w:val="000001000000"/>
            <w:tcW w:w="6397" w:type="dxa"/>
            <w:tcBorders>
              <w:right w:val="none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В любой момент, когда игрок находится в форме с вопросом</w:t>
            </w:r>
          </w:p>
        </w:tc>
      </w:tr>
      <w:tr>
        <w:trPr/>
        <w:tc>
          <w:tcPr>
            <w:cnfStyle w:val="000010000000"/>
            <w:tcW w:w="2845" w:type="dxa"/>
            <w:tcBorders>
              <w:left w:val="none" w:sz="4" w:space="0"/>
              <w:right w:val="single" w:color="000000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cnfStyle w:val="000001000000"/>
            <w:tcW w:w="6397" w:type="dxa"/>
            <w:tcBorders>
              <w:right w:val="none" w:sz="4" w:space="0"/>
            </w:tcBorders>
          </w:tcPr>
          <w:p>
            <w:pPr>
              <w:spacing w:line="360"/>
              <w:ind w:right="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1.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Пользователь нажимает на кнопку с ответом, который он считает правильным</w:t>
            </w:r>
          </w:p>
          <w:p>
            <w:pPr>
              <w:spacing w:line="360"/>
              <w:ind w:right="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2. Система проверяет совпадение выбранного ответа с правильным</w:t>
            </w:r>
          </w:p>
          <w:p>
            <w:pPr>
              <w:spacing w:line="360"/>
              <w:ind w:right="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3. Система включает звуковое сопровождение, характерное правильному ответу, выбранная кнопка меняет цвет</w:t>
            </w:r>
          </w:p>
          <w:p>
            <w:pPr>
              <w:spacing w:line="360"/>
              <w:ind w:right="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4. Пользователя перемещает в новую форму с другим вопросом</w:t>
            </w:r>
          </w:p>
        </w:tc>
      </w:tr>
      <w:tr>
        <w:trPr/>
        <w:tc>
          <w:tcPr>
            <w:cnfStyle w:val="000010000000"/>
            <w:tcW w:w="2845" w:type="dxa"/>
            <w:tcBorders>
              <w:left w:val="none" w:sz="4" w:space="0"/>
              <w:bottom w:val="none" w:sz="4" w:space="0"/>
              <w:right w:val="single" w:color="000000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Расширение</w:t>
            </w:r>
          </w:p>
        </w:tc>
        <w:tc>
          <w:tcPr>
            <w:cnfStyle w:val="000001000000"/>
            <w:tcW w:w="6397" w:type="dxa"/>
            <w:tcBorders>
              <w:bottom w:val="none" w:sz="4" w:space="0"/>
              <w:right w:val="none" w:sz="4" w:space="0"/>
            </w:tcBorders>
          </w:tcPr>
          <w:p>
            <w:pPr>
              <w:spacing w:line="360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ru-RU"/>
              </w:rPr>
              <w:t>3.1. Система включает звуковое сопровождение, характерное неправильному ответу, пользователь попадает в начальное меню</w:t>
            </w:r>
          </w:p>
        </w:tc>
      </w:tr>
    </w:tbl>
    <w:p>
      <w:pPr>
        <w:spacing w:line="360"/>
        <w:jc w:val="both"/>
        <w:rPr>
          <w:rFonts w:ascii="Times New Roman" w:cs="Times New Roman" w:hAnsi="Times New Roman"/>
          <w:sz w:val="28"/>
          <w:szCs w:val="28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