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5024" w14:textId="10771A16" w:rsidR="00A72F13" w:rsidRPr="001654A9" w:rsidRDefault="00D3554D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2F13" w:rsidRPr="001654A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5CC663AC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1EA9B38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60519619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Pr="001654A9">
        <w:t xml:space="preserve"> </w:t>
      </w:r>
      <w:r w:rsidRPr="001654A9">
        <w:rPr>
          <w:rFonts w:ascii="Times New Roman" w:hAnsi="Times New Roman" w:cs="Times New Roman"/>
          <w:b/>
          <w:bCs/>
          <w:sz w:val="28"/>
          <w:szCs w:val="28"/>
        </w:rPr>
        <w:t>профессионального образования</w:t>
      </w:r>
    </w:p>
    <w:p w14:paraId="34F8265B" w14:textId="77777777" w:rsidR="00A72F13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4A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2EE452C4" w14:textId="77777777" w:rsidR="00A72F13" w:rsidRPr="001654A9" w:rsidRDefault="00A72F13" w:rsidP="00A72F1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FDA7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4CDA97FB" w14:textId="77777777" w:rsidR="00A72F13" w:rsidRPr="001E13DA" w:rsidRDefault="00A72F13" w:rsidP="00A72F13">
      <w:pPr>
        <w:spacing w:after="0" w:line="360" w:lineRule="auto"/>
        <w:ind w:firstLine="5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54761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905437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Преподаватель,</w:t>
      </w:r>
    </w:p>
    <w:p w14:paraId="6DFBA51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д.т.н. А.А. </w:t>
      </w:r>
      <w:proofErr w:type="spellStart"/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Халафян</w:t>
      </w:r>
      <w:proofErr w:type="spellEnd"/>
    </w:p>
    <w:p w14:paraId="69FA08EC" w14:textId="77777777" w:rsidR="00A72F13" w:rsidRPr="001E13DA" w:rsidRDefault="00A72F13" w:rsidP="00A72F13">
      <w:pPr>
        <w:spacing w:after="0" w:line="360" w:lineRule="auto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____________________</w:t>
      </w:r>
    </w:p>
    <w:p w14:paraId="38353959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CE5EF95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2528AE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96774C" w14:textId="793AEB6E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№</w:t>
      </w:r>
      <w:r w:rsidR="0031350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</w:p>
    <w:p w14:paraId="4F6B8184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6A5475CC" w14:textId="2C3D3998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СТАТИСТИЧЕСКИЙ АНАЛИЗ </w:t>
      </w:r>
      <w:r w:rsidR="00B4423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МЕДИЦИНСКИХ ПОКАЗАТЕЛЕЙ ПРИ КЛАССИФИКАЦИИ САХАРНОГО ДИАБЕТА</w:t>
      </w:r>
    </w:p>
    <w:p w14:paraId="453812F0" w14:textId="77777777" w:rsidR="00A72F13" w:rsidRPr="001E13DA" w:rsidRDefault="00A72F13" w:rsidP="00A72F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33B5662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6DB53B" w14:textId="77777777" w:rsidR="00A72F13" w:rsidRPr="001E13DA" w:rsidRDefault="00A72F13" w:rsidP="00A72F13">
      <w:pPr>
        <w:tabs>
          <w:tab w:val="left" w:pos="6804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Работу выполнил студент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курса</w:t>
      </w:r>
    </w:p>
    <w:p w14:paraId="19CE8B27" w14:textId="2726CA27" w:rsidR="00A72F13" w:rsidRPr="001E13DA" w:rsidRDefault="00B4423A" w:rsidP="00A72F13">
      <w:pPr>
        <w:tabs>
          <w:tab w:val="left" w:pos="5529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Балашов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A72F1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3BD0E2B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26D5478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F262A49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5631125A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28"/>
          <w:szCs w:val="28"/>
          <w:lang w:eastAsia="ru-RU"/>
          <w14:ligatures w14:val="none"/>
        </w:rPr>
      </w:pPr>
    </w:p>
    <w:p w14:paraId="3399ECC0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1C445D" w14:textId="77777777" w:rsidR="00A72F13" w:rsidRPr="001E13DA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77699E" w14:textId="77777777" w:rsidR="00A72F13" w:rsidRDefault="00A72F13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13D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Краснодар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</w:p>
    <w:p w14:paraId="01D83E60" w14:textId="77777777" w:rsidR="002626C5" w:rsidRPr="001E13DA" w:rsidRDefault="002626C5" w:rsidP="00A72F13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1BB754" w14:textId="0DA3E848" w:rsidR="00A72F13" w:rsidRPr="001648F5" w:rsidRDefault="00A72F13" w:rsidP="00A72F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8F5">
        <w:rPr>
          <w:rFonts w:ascii="Times New Roman" w:hAnsi="Times New Roman" w:cs="Times New Roman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22135654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6CF8E475" w14:textId="0D8EBF81" w:rsidR="00993464" w:rsidRPr="00993464" w:rsidRDefault="00A72F13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9346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9346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9346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275361" w:history="1">
            <w:r w:rsidR="00993464"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 Исходные данные</w:t>
            </w:r>
            <w:r w:rsidR="00993464"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93464"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93464"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_Toc225275361 \h </w:instrText>
            </w:r>
            <w:r w:rsidR="00993464"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93464"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93464"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14D46" w14:textId="3DC17CE4" w:rsidR="00993464" w:rsidRPr="00993464" w:rsidRDefault="0099346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2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 Факторный анализ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_Toc225275362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E3824" w14:textId="26EA7E63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3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 Корреляционная матрица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_Toc225275363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CA261" w14:textId="5ECC37D0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4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 Собственные значения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_Toc225275364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E5342" w14:textId="7900B59C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5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 График собственных значений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_Toc225275365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1CD3BB" w14:textId="56D468E5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6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 Факторные нагрузки до вращения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_Toc225275366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39515" w14:textId="25CE8622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7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 Вращение факторов (Varimax)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_Toc225275367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B32E6" w14:textId="7FB2A58C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8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 График факторных нагрузок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_Toc225275368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C8D74" w14:textId="53735A22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69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2.7 Коэффициенты факторных значений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_Toc225275369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B6432" w14:textId="3A3349CC" w:rsidR="00993464" w:rsidRPr="00993464" w:rsidRDefault="00993464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5370" w:history="1">
            <w:r w:rsidRPr="0099346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2.8 Факторные значения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_Toc225275370 \h </w:instrTex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837F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934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88EAD" w14:textId="1A1FAFD4" w:rsidR="00A72F13" w:rsidRDefault="00A72F13" w:rsidP="00A72F13">
          <w:r w:rsidRPr="0099346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0163248" w14:textId="77777777" w:rsidR="00A72F13" w:rsidRDefault="00A72F13" w:rsidP="00A72F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F8938E" w14:textId="7541A233" w:rsidR="00F7067E" w:rsidRPr="00C22A3D" w:rsidRDefault="00F7067E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275361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Исходные данные</w:t>
      </w:r>
      <w:bookmarkEnd w:id="0"/>
    </w:p>
    <w:p w14:paraId="738819FF" w14:textId="225A2377" w:rsidR="0023148F" w:rsidRPr="00277882" w:rsidRDefault="0023148F" w:rsidP="002314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3ED">
        <w:rPr>
          <w:noProof/>
        </w:rPr>
        <w:drawing>
          <wp:inline distT="0" distB="0" distL="0" distR="0" wp14:anchorId="440E9DB2" wp14:editId="7FC48C5A">
            <wp:extent cx="6333948" cy="2184400"/>
            <wp:effectExtent l="0" t="0" r="0" b="0"/>
            <wp:docPr id="429191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3" t="-2728" r="4387" b="11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338" cy="219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A4BEA" w14:textId="77777777" w:rsidR="0023148F" w:rsidRPr="00EE6577" w:rsidRDefault="0023148F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6577">
        <w:rPr>
          <w:rFonts w:ascii="Times New Roman" w:hAnsi="Times New Roman" w:cs="Times New Roman"/>
          <w:sz w:val="28"/>
          <w:szCs w:val="28"/>
        </w:rPr>
        <w:t>Показатели:</w:t>
      </w:r>
    </w:p>
    <w:p w14:paraId="6E1F28A5" w14:textId="77777777" w:rsidR="0023148F" w:rsidRPr="00B26F1C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age – </w:t>
      </w:r>
      <w:r>
        <w:rPr>
          <w:rFonts w:ascii="Times New Roman" w:hAnsi="Times New Roman" w:cs="Times New Roman"/>
          <w:sz w:val="28"/>
          <w:szCs w:val="28"/>
        </w:rPr>
        <w:t>возраст.</w:t>
      </w:r>
    </w:p>
    <w:p w14:paraId="3C673D93" w14:textId="77777777" w:rsidR="0023148F" w:rsidRPr="00B26F1C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>
        <w:rPr>
          <w:rFonts w:ascii="Times New Roman" w:hAnsi="Times New Roman" w:cs="Times New Roman"/>
          <w:sz w:val="28"/>
          <w:szCs w:val="28"/>
        </w:rPr>
        <w:t xml:space="preserve"> – пол. Мужской (</w:t>
      </w:r>
      <w:r>
        <w:rPr>
          <w:rFonts w:ascii="Times New Roman" w:hAnsi="Times New Roman" w:cs="Times New Roman"/>
          <w:sz w:val="28"/>
          <w:szCs w:val="28"/>
          <w:lang w:val="en-US"/>
        </w:rPr>
        <w:t>Male</w:t>
      </w:r>
      <w:r>
        <w:rPr>
          <w:rFonts w:ascii="Times New Roman" w:hAnsi="Times New Roman" w:cs="Times New Roman"/>
          <w:sz w:val="28"/>
          <w:szCs w:val="28"/>
        </w:rPr>
        <w:t>), Женский (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B1FF26" w14:textId="77777777" w:rsidR="0023148F" w:rsidRPr="00B26F1C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индекс массы тела.</w:t>
      </w:r>
    </w:p>
    <w:p w14:paraId="4A965156" w14:textId="77777777" w:rsidR="0023148F" w:rsidRPr="00B26F1C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blood_pressure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кровяное давление.</w:t>
      </w:r>
    </w:p>
    <w:p w14:paraId="03BB25BD" w14:textId="77777777" w:rsidR="0023148F" w:rsidRPr="00B26F1C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fasting</w:t>
      </w:r>
      <w:r w:rsidRPr="005C43E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глюкозы в крови натощак.</w:t>
      </w:r>
    </w:p>
    <w:p w14:paraId="3DA380CD" w14:textId="77777777" w:rsidR="0023148F" w:rsidRPr="00B26F1C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insulin</w:t>
      </w:r>
      <w:r>
        <w:rPr>
          <w:rFonts w:ascii="Times New Roman" w:hAnsi="Times New Roman" w:cs="Times New Roman"/>
          <w:sz w:val="28"/>
          <w:szCs w:val="28"/>
        </w:rPr>
        <w:t xml:space="preserve"> – уровень инсулина в крови.</w:t>
      </w:r>
    </w:p>
    <w:p w14:paraId="44911AB4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r w:rsidRPr="005C43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уровень гликированного гемоглобина в крови.</w:t>
      </w:r>
    </w:p>
    <w:p w14:paraId="0DBA4A41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cholesterol</w:t>
      </w:r>
      <w:r>
        <w:rPr>
          <w:rFonts w:ascii="Times New Roman" w:hAnsi="Times New Roman" w:cs="Times New Roman"/>
          <w:sz w:val="28"/>
          <w:szCs w:val="28"/>
        </w:rPr>
        <w:t xml:space="preserve"> – уровень холестерина в крови.</w:t>
      </w:r>
    </w:p>
    <w:p w14:paraId="3EBF5171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triglycerides</w:t>
      </w:r>
      <w:r>
        <w:rPr>
          <w:rFonts w:ascii="Times New Roman" w:hAnsi="Times New Roman" w:cs="Times New Roman"/>
          <w:sz w:val="28"/>
          <w:szCs w:val="28"/>
        </w:rPr>
        <w:t xml:space="preserve"> – уровень триглицеридов в крови.</w:t>
      </w:r>
    </w:p>
    <w:p w14:paraId="4CA42DDF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physical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физической активности. Низкая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Умеренная (</w:t>
      </w:r>
      <w:r>
        <w:rPr>
          <w:rFonts w:ascii="Times New Roman" w:hAnsi="Times New Roman" w:cs="Times New Roman"/>
          <w:sz w:val="28"/>
          <w:szCs w:val="28"/>
          <w:lang w:val="en-US"/>
        </w:rPr>
        <w:t>Moderate</w:t>
      </w:r>
      <w:r>
        <w:rPr>
          <w:rFonts w:ascii="Times New Roman" w:hAnsi="Times New Roman" w:cs="Times New Roman"/>
          <w:sz w:val="28"/>
          <w:szCs w:val="28"/>
        </w:rPr>
        <w:t>), Высокая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180AB56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calorie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среднесуточное потребление калорий.</w:t>
      </w:r>
    </w:p>
    <w:p w14:paraId="5039EE96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sugar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intake</w:t>
      </w:r>
      <w:r>
        <w:rPr>
          <w:rFonts w:ascii="Times New Roman" w:hAnsi="Times New Roman" w:cs="Times New Roman"/>
          <w:sz w:val="28"/>
          <w:szCs w:val="28"/>
        </w:rPr>
        <w:t xml:space="preserve"> – ежедневное потребление сахара в граммах.</w:t>
      </w:r>
    </w:p>
    <w:p w14:paraId="5982E35B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sleep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hours</w:t>
      </w:r>
      <w:r>
        <w:rPr>
          <w:rFonts w:ascii="Times New Roman" w:hAnsi="Times New Roman" w:cs="Times New Roman"/>
          <w:sz w:val="28"/>
          <w:szCs w:val="28"/>
        </w:rPr>
        <w:t xml:space="preserve"> – средняя продолжительность сна за ночь.</w:t>
      </w:r>
    </w:p>
    <w:p w14:paraId="0D59055C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stress</w:t>
      </w:r>
      <w:r>
        <w:rPr>
          <w:rFonts w:ascii="Times New Roman" w:hAnsi="Times New Roman" w:cs="Times New Roman"/>
          <w:sz w:val="28"/>
          <w:szCs w:val="28"/>
        </w:rPr>
        <w:t xml:space="preserve"> – уровень стресса. Низкий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>), Нормальный (</w:t>
      </w:r>
      <w:r>
        <w:rPr>
          <w:rFonts w:ascii="Times New Roman" w:hAnsi="Times New Roman" w:cs="Times New Roman"/>
          <w:sz w:val="28"/>
          <w:szCs w:val="28"/>
          <w:lang w:val="en-US"/>
        </w:rPr>
        <w:t>Normal</w:t>
      </w:r>
      <w:r>
        <w:rPr>
          <w:rFonts w:ascii="Times New Roman" w:hAnsi="Times New Roman" w:cs="Times New Roman"/>
          <w:sz w:val="28"/>
          <w:szCs w:val="28"/>
        </w:rPr>
        <w:t>), Высокий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2B2F5218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family</w:t>
      </w:r>
      <w:r w:rsidRPr="005F0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семейный анамнез сахарного диабета. Указывает на генетическую предрасположенность (Да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Нет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</w:rPr>
        <w:t>))</w:t>
      </w:r>
      <w:r w:rsidRPr="005F0AC0">
        <w:rPr>
          <w:rFonts w:ascii="Times New Roman" w:hAnsi="Times New Roman" w:cs="Times New Roman"/>
          <w:sz w:val="28"/>
          <w:szCs w:val="28"/>
        </w:rPr>
        <w:t>.</w:t>
      </w:r>
    </w:p>
    <w:p w14:paraId="516D3AFC" w14:textId="77777777" w:rsidR="0023148F" w:rsidRPr="005C43ED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waist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окружность талии в сантиметрах.</w:t>
      </w:r>
    </w:p>
    <w:p w14:paraId="667CAE56" w14:textId="77777777" w:rsidR="0023148F" w:rsidRPr="007F2F89" w:rsidRDefault="0023148F" w:rsidP="0023148F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diabetes</w:t>
      </w:r>
      <w:r w:rsidRPr="005F0A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– категория риска развития сахарного диабета. Классификация риска: Низкий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Высокий риск (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F0A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), Преддиабет (</w:t>
      </w:r>
      <w:r>
        <w:rPr>
          <w:rFonts w:ascii="Times New Roman" w:hAnsi="Times New Roman" w:cs="Times New Roman"/>
          <w:sz w:val="28"/>
          <w:szCs w:val="28"/>
          <w:lang w:val="en-US"/>
        </w:rPr>
        <w:t>Prediabetes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838FC72" w14:textId="77777777" w:rsidR="0023148F" w:rsidRDefault="0023148F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8C1241" w14:textId="1D1EE21D" w:rsidR="00CA7606" w:rsidRPr="00CA7606" w:rsidRDefault="00CA7606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606">
        <w:rPr>
          <w:rFonts w:ascii="Times New Roman" w:hAnsi="Times New Roman" w:cs="Times New Roman"/>
          <w:sz w:val="28"/>
          <w:szCs w:val="28"/>
        </w:rPr>
        <w:t>Переменные, участвующие в анализе:</w:t>
      </w:r>
    </w:p>
    <w:p w14:paraId="7BBF2BB1" w14:textId="38A2E8BA" w:rsidR="0031350F" w:rsidRPr="0031350F" w:rsidRDefault="0023148F" w:rsidP="0031350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индекс массы тела</w:t>
      </w:r>
      <w:r w:rsidR="0031350F" w:rsidRPr="0031350F">
        <w:rPr>
          <w:rFonts w:ascii="Times New Roman" w:hAnsi="Times New Roman" w:cs="Times New Roman"/>
          <w:sz w:val="28"/>
          <w:szCs w:val="28"/>
        </w:rPr>
        <w:t>;</w:t>
      </w:r>
    </w:p>
    <w:p w14:paraId="6FFC1D09" w14:textId="6819D493" w:rsidR="0031350F" w:rsidRPr="0031350F" w:rsidRDefault="0023148F" w:rsidP="0031350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fasting_glucose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глюкоза натощак</w:t>
      </w:r>
      <w:r w:rsidR="0031350F" w:rsidRPr="0031350F">
        <w:rPr>
          <w:rFonts w:ascii="Times New Roman" w:hAnsi="Times New Roman" w:cs="Times New Roman"/>
          <w:sz w:val="28"/>
          <w:szCs w:val="28"/>
        </w:rPr>
        <w:t>;</w:t>
      </w:r>
    </w:p>
    <w:p w14:paraId="35F2C64D" w14:textId="3FDE5BF2" w:rsidR="0031350F" w:rsidRPr="0031350F" w:rsidRDefault="0023148F" w:rsidP="0031350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HbA1c – </w:t>
      </w:r>
      <w:r>
        <w:rPr>
          <w:rFonts w:ascii="Times New Roman" w:hAnsi="Times New Roman" w:cs="Times New Roman"/>
          <w:sz w:val="28"/>
          <w:szCs w:val="28"/>
        </w:rPr>
        <w:t>гликированный гемоглобин</w:t>
      </w:r>
      <w:r w:rsidR="0031350F" w:rsidRPr="0031350F">
        <w:rPr>
          <w:rFonts w:ascii="Times New Roman" w:hAnsi="Times New Roman" w:cs="Times New Roman"/>
          <w:sz w:val="28"/>
          <w:szCs w:val="28"/>
        </w:rPr>
        <w:t>;</w:t>
      </w:r>
    </w:p>
    <w:p w14:paraId="3DAE3E55" w14:textId="389E5204" w:rsidR="0031350F" w:rsidRPr="0031350F" w:rsidRDefault="0023148F" w:rsidP="0031350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triglycerides – </w:t>
      </w:r>
      <w:r>
        <w:rPr>
          <w:rFonts w:ascii="Times New Roman" w:hAnsi="Times New Roman" w:cs="Times New Roman"/>
          <w:sz w:val="28"/>
          <w:szCs w:val="28"/>
        </w:rPr>
        <w:t>триглицериды</w:t>
      </w:r>
      <w:r w:rsidR="0031350F" w:rsidRPr="0031350F">
        <w:rPr>
          <w:rFonts w:ascii="Times New Roman" w:hAnsi="Times New Roman" w:cs="Times New Roman"/>
          <w:sz w:val="28"/>
          <w:szCs w:val="28"/>
        </w:rPr>
        <w:t>;</w:t>
      </w:r>
    </w:p>
    <w:p w14:paraId="609A0BDB" w14:textId="1B39AC38" w:rsidR="0031350F" w:rsidRPr="0031350F" w:rsidRDefault="0023148F" w:rsidP="0031350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daily_calorie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калорийность рациона</w:t>
      </w:r>
      <w:r w:rsidR="0031350F" w:rsidRPr="0031350F">
        <w:rPr>
          <w:rFonts w:ascii="Times New Roman" w:hAnsi="Times New Roman" w:cs="Times New Roman"/>
          <w:sz w:val="28"/>
          <w:szCs w:val="28"/>
        </w:rPr>
        <w:t>;</w:t>
      </w:r>
    </w:p>
    <w:p w14:paraId="10C5CD9E" w14:textId="6F9C4A3C" w:rsidR="0031350F" w:rsidRPr="0031350F" w:rsidRDefault="0023148F" w:rsidP="0031350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sugar_intake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потребление сахара</w:t>
      </w:r>
      <w:r w:rsidR="0031350F" w:rsidRPr="0031350F">
        <w:rPr>
          <w:rFonts w:ascii="Times New Roman" w:hAnsi="Times New Roman" w:cs="Times New Roman"/>
          <w:sz w:val="28"/>
          <w:szCs w:val="28"/>
        </w:rPr>
        <w:t>;</w:t>
      </w:r>
    </w:p>
    <w:p w14:paraId="05350D93" w14:textId="50336C73" w:rsidR="0031350F" w:rsidRPr="0023148F" w:rsidRDefault="0023148F" w:rsidP="0023148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waist – </w:t>
      </w:r>
      <w:r>
        <w:rPr>
          <w:rFonts w:ascii="Times New Roman" w:hAnsi="Times New Roman" w:cs="Times New Roman"/>
          <w:sz w:val="28"/>
          <w:szCs w:val="28"/>
        </w:rPr>
        <w:t>окружность талии.</w:t>
      </w:r>
    </w:p>
    <w:p w14:paraId="5F567EE4" w14:textId="32DDDCC2" w:rsidR="0031350F" w:rsidRPr="0031350F" w:rsidRDefault="0031350F" w:rsidP="00313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50F">
        <w:rPr>
          <w:rFonts w:ascii="Times New Roman" w:hAnsi="Times New Roman" w:cs="Times New Roman"/>
          <w:sz w:val="28"/>
          <w:szCs w:val="28"/>
        </w:rPr>
        <w:t xml:space="preserve">Цель анализа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350F">
        <w:rPr>
          <w:rFonts w:ascii="Times New Roman" w:hAnsi="Times New Roman" w:cs="Times New Roman"/>
          <w:sz w:val="28"/>
          <w:szCs w:val="28"/>
        </w:rPr>
        <w:t xml:space="preserve"> сократить число переменных, выделив скрытые факторы, которые объясняют связи между наблюдаемыми признаками.</w:t>
      </w:r>
    </w:p>
    <w:p w14:paraId="1B22DA10" w14:textId="5775B74C" w:rsidR="00F7067E" w:rsidRPr="00406AED" w:rsidRDefault="00F7067E" w:rsidP="0031350F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6AED">
        <w:rPr>
          <w:rFonts w:ascii="Times New Roman" w:hAnsi="Times New Roman" w:cs="Times New Roman"/>
          <w:sz w:val="28"/>
          <w:szCs w:val="28"/>
        </w:rPr>
        <w:br w:type="page"/>
      </w:r>
    </w:p>
    <w:p w14:paraId="4DDC1F74" w14:textId="33B95446" w:rsidR="001052F4" w:rsidRDefault="001052F4" w:rsidP="00C22A3D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27536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 </w:t>
      </w:r>
      <w:r w:rsidR="0031350F" w:rsidRPr="0031350F">
        <w:rPr>
          <w:rFonts w:ascii="Times New Roman" w:hAnsi="Times New Roman" w:cs="Times New Roman"/>
          <w:b/>
          <w:bCs/>
          <w:color w:val="auto"/>
          <w:sz w:val="28"/>
          <w:szCs w:val="28"/>
        </w:rPr>
        <w:t>Факторный анализ</w:t>
      </w:r>
      <w:bookmarkEnd w:id="1"/>
    </w:p>
    <w:p w14:paraId="492746FC" w14:textId="0AFE8C28" w:rsidR="002D6B75" w:rsidRPr="00C22A3D" w:rsidRDefault="002D6B75" w:rsidP="006E72D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5275363"/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1052F4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1350F" w:rsidRPr="0031350F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Корреляционная матрица</w:t>
      </w:r>
      <w:bookmarkEnd w:id="2"/>
    </w:p>
    <w:p w14:paraId="5AA36A53" w14:textId="77777777" w:rsidR="00E57967" w:rsidRPr="00E25A3F" w:rsidRDefault="00E57967" w:rsidP="00E57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A3F">
        <w:rPr>
          <w:rFonts w:ascii="Times New Roman" w:hAnsi="Times New Roman" w:cs="Times New Roman"/>
          <w:sz w:val="28"/>
          <w:szCs w:val="28"/>
        </w:rPr>
        <w:t>В таблице 2.1 представлена корреляционная матрица, которая показывает степень взаимосвязи между всеми анализируемыми переменными.</w:t>
      </w:r>
    </w:p>
    <w:p w14:paraId="1983A40D" w14:textId="177FC922" w:rsidR="00E57967" w:rsidRDefault="00E57967" w:rsidP="004C6B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A3F">
        <w:rPr>
          <w:rFonts w:ascii="Times New Roman" w:hAnsi="Times New Roman" w:cs="Times New Roman"/>
          <w:sz w:val="28"/>
          <w:szCs w:val="28"/>
        </w:rPr>
        <w:t xml:space="preserve">Таблица 2.1 </w:t>
      </w:r>
      <w:r w:rsidR="00B50927">
        <w:rPr>
          <w:rFonts w:ascii="Times New Roman" w:hAnsi="Times New Roman" w:cs="Times New Roman"/>
          <w:sz w:val="28"/>
          <w:szCs w:val="28"/>
        </w:rPr>
        <w:t>–</w:t>
      </w:r>
      <w:r w:rsidRPr="00E25A3F">
        <w:rPr>
          <w:rFonts w:ascii="Times New Roman" w:hAnsi="Times New Roman" w:cs="Times New Roman"/>
          <w:sz w:val="28"/>
          <w:szCs w:val="28"/>
        </w:rPr>
        <w:t xml:space="preserve"> Корреляционная матрица</w:t>
      </w:r>
    </w:p>
    <w:p w14:paraId="20858057" w14:textId="2696BAB1" w:rsidR="002A6575" w:rsidRDefault="002A6575" w:rsidP="00E57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C6A">
        <w:drawing>
          <wp:inline distT="0" distB="0" distL="0" distR="0" wp14:anchorId="7F84D30A" wp14:editId="25A1366C">
            <wp:extent cx="5774055" cy="1591733"/>
            <wp:effectExtent l="0" t="0" r="0" b="8890"/>
            <wp:docPr id="1086785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97" b="9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267" cy="159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28F24" w14:textId="5861B3C1" w:rsidR="00C97E69" w:rsidRDefault="004C6BBF" w:rsidP="00C97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BBF">
        <w:rPr>
          <w:rFonts w:ascii="Times New Roman" w:hAnsi="Times New Roman" w:cs="Times New Roman"/>
          <w:sz w:val="28"/>
          <w:szCs w:val="28"/>
        </w:rPr>
        <w:t xml:space="preserve">Наибольшие корреляции (более 0,7) наблюдаются между следующими парами переменных: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(0,96),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HbA1c (0,98),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(0,89),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(0,83),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(0,85), а также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(0,77),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(0,76). Это означает, что данные переменные могут быть объяснены общими факторами. Особенно тесная связь между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HbA1c указывает на то, что они измеряют один и тот же аспект углеводного обмена. Аналогично,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практически линейно связаны, что отражает единство антропометрической составляющей. В то же время переменные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 xml:space="preserve"> имеют умеренные корреляции с гликемическими показателями (около </w:t>
      </w:r>
      <w:proofErr w:type="gramStart"/>
      <w:r w:rsidRPr="004C6BBF">
        <w:rPr>
          <w:rFonts w:ascii="Times New Roman" w:hAnsi="Times New Roman" w:cs="Times New Roman"/>
          <w:sz w:val="28"/>
          <w:szCs w:val="28"/>
        </w:rPr>
        <w:t>0,4</w:t>
      </w:r>
      <w:r w:rsidR="00B4423A">
        <w:rPr>
          <w:rFonts w:ascii="Times New Roman" w:hAnsi="Times New Roman" w:cs="Times New Roman"/>
          <w:sz w:val="28"/>
          <w:szCs w:val="28"/>
        </w:rPr>
        <w:t>-</w:t>
      </w:r>
      <w:r w:rsidRPr="004C6BBF">
        <w:rPr>
          <w:rFonts w:ascii="Times New Roman" w:hAnsi="Times New Roman" w:cs="Times New Roman"/>
          <w:sz w:val="28"/>
          <w:szCs w:val="28"/>
        </w:rPr>
        <w:t>0,6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4C6BBF">
        <w:rPr>
          <w:rFonts w:ascii="Times New Roman" w:hAnsi="Times New Roman" w:cs="Times New Roman"/>
          <w:sz w:val="28"/>
          <w:szCs w:val="28"/>
        </w:rPr>
        <w:t>. Таким образом, в структуре данных можно предположить наличие трёх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C6BBF">
        <w:rPr>
          <w:rFonts w:ascii="Times New Roman" w:hAnsi="Times New Roman" w:cs="Times New Roman"/>
          <w:sz w:val="28"/>
          <w:szCs w:val="28"/>
        </w:rPr>
        <w:t>четырёх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6BBF">
        <w:rPr>
          <w:rFonts w:ascii="Times New Roman" w:hAnsi="Times New Roman" w:cs="Times New Roman"/>
          <w:sz w:val="28"/>
          <w:szCs w:val="28"/>
        </w:rPr>
        <w:t>факторов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06EAE0" w14:textId="77777777" w:rsidR="004C6BBF" w:rsidRDefault="004C6BBF" w:rsidP="00C97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B906E1" w14:textId="73757566" w:rsidR="00C12924" w:rsidRDefault="00C12924" w:rsidP="00C12924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22527536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31350F" w:rsidRPr="0031350F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Собственные значения</w:t>
      </w:r>
      <w:bookmarkEnd w:id="3"/>
    </w:p>
    <w:p w14:paraId="6D3DBD04" w14:textId="75922DCD" w:rsidR="00E25A3F" w:rsidRPr="00E25A3F" w:rsidRDefault="00E25A3F" w:rsidP="00E25A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A3F">
        <w:rPr>
          <w:rFonts w:ascii="Times New Roman" w:hAnsi="Times New Roman" w:cs="Times New Roman"/>
          <w:sz w:val="28"/>
          <w:szCs w:val="28"/>
        </w:rPr>
        <w:t>В таблице 2.2 приведены собственные значения, полученные методом главных компонент. Каждое собственное значение показывает, сколько дисперсии объясняет соответствующий фактор.</w:t>
      </w:r>
    </w:p>
    <w:p w14:paraId="54CA7789" w14:textId="77777777" w:rsidR="00F91DAA" w:rsidRDefault="00F91D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FD28E5" w14:textId="37911B20" w:rsidR="005A2F92" w:rsidRDefault="00E25A3F" w:rsidP="004C6B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A3F">
        <w:rPr>
          <w:rFonts w:ascii="Times New Roman" w:hAnsi="Times New Roman" w:cs="Times New Roman"/>
          <w:sz w:val="28"/>
          <w:szCs w:val="28"/>
        </w:rPr>
        <w:lastRenderedPageBreak/>
        <w:t xml:space="preserve">Таблица 2.2 </w:t>
      </w:r>
      <w:r w:rsidR="00B50927">
        <w:rPr>
          <w:rFonts w:ascii="Times New Roman" w:hAnsi="Times New Roman" w:cs="Times New Roman"/>
          <w:sz w:val="28"/>
          <w:szCs w:val="28"/>
        </w:rPr>
        <w:t>–</w:t>
      </w:r>
      <w:r w:rsidRPr="00E25A3F">
        <w:rPr>
          <w:rFonts w:ascii="Times New Roman" w:hAnsi="Times New Roman" w:cs="Times New Roman"/>
          <w:sz w:val="28"/>
          <w:szCs w:val="28"/>
        </w:rPr>
        <w:t xml:space="preserve"> Собственные значения</w:t>
      </w:r>
    </w:p>
    <w:p w14:paraId="303C1842" w14:textId="0C7B67E2" w:rsidR="002A6575" w:rsidRDefault="002A6575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C6A">
        <w:drawing>
          <wp:inline distT="0" distB="0" distL="0" distR="0" wp14:anchorId="754CFCA6" wp14:editId="25856B4F">
            <wp:extent cx="3886200" cy="1837055"/>
            <wp:effectExtent l="0" t="0" r="0" b="0"/>
            <wp:docPr id="5033939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535" b="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648" cy="183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767BC7" w14:textId="35D01894" w:rsidR="004C6BBF" w:rsidRDefault="004C6BBF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BBF">
        <w:rPr>
          <w:rFonts w:ascii="Times New Roman" w:hAnsi="Times New Roman" w:cs="Times New Roman"/>
          <w:sz w:val="28"/>
          <w:szCs w:val="28"/>
        </w:rPr>
        <w:t>Согласно критерию Кайзера, следует сохранять факторы с собственными значениями больше 1. Этому условию удовлетворяют первые два фактора, собственные значения которых составляют 4,84 и 1,25, а их суммарный вклад в объяснение дисперсии достигает 87,00%. Третий фактор имеет собственное значение 0,57, что меньше 1, однако он объясняет еще 8,08% дисперсии, увеличивая кумулятивный процент до 95,08%. Учитывая высокую суммарную объяснённую дисперсию (более 95%) и содержательную интерпретируемость, целесообразно рассмотреть возможность выделения трёх факторов. Дальнейшие факторы имеют собственные значения менее 0,2 и вносят пренебрежимо малый вклад. Таким образом, оптимальное число факторов для последующего вращения и интерпретации составляет два или три.</w:t>
      </w:r>
    </w:p>
    <w:p w14:paraId="16BD5EEE" w14:textId="77777777" w:rsidR="008D46A0" w:rsidRDefault="008D46A0" w:rsidP="00986A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555F3" w14:textId="0A365DDD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Toc22527536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DA264D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1350F" w:rsidRPr="0031350F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График собственных значений</w:t>
      </w:r>
      <w:bookmarkEnd w:id="4"/>
    </w:p>
    <w:p w14:paraId="0DF3B0D1" w14:textId="1DE73705" w:rsidR="001903F6" w:rsidRPr="002A6575" w:rsidRDefault="00545FBD" w:rsidP="002A6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>На рисунке 1 представлен график собственных значений (критерий каменистой осыпи), который помогает определить оптимальное число факторов.</w:t>
      </w:r>
    </w:p>
    <w:p w14:paraId="7531A33E" w14:textId="7653262D" w:rsidR="002A6575" w:rsidRDefault="002A6575" w:rsidP="008F373E">
      <w:pPr>
        <w:spacing w:after="0" w:line="360" w:lineRule="auto"/>
        <w:ind w:firstLine="709"/>
        <w:jc w:val="center"/>
      </w:pPr>
      <w:r>
        <w:object w:dxaOrig="8841" w:dyaOrig="6640" w14:anchorId="2649B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42pt;height:332pt" o:ole="">
            <v:imagedata r:id="rId9" o:title="" cropbottom="13151f" cropright="12981f"/>
          </v:shape>
          <o:OLEObject Type="Embed" ProgID="STATISTICA.Graph" ShapeID="_x0000_i1027" DrawAspect="Content" ObjectID="_1835907464" r:id="rId10">
            <o:FieldCodes>\s</o:FieldCodes>
          </o:OLEObject>
        </w:object>
      </w:r>
    </w:p>
    <w:p w14:paraId="3A032D53" w14:textId="483C78D2" w:rsidR="00831ACB" w:rsidRDefault="00545FBD" w:rsidP="004C6BB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B50927">
        <w:rPr>
          <w:rFonts w:ascii="Times New Roman" w:hAnsi="Times New Roman" w:cs="Times New Roman"/>
          <w:sz w:val="28"/>
          <w:szCs w:val="28"/>
        </w:rPr>
        <w:t>–</w:t>
      </w:r>
      <w:r w:rsidRPr="00545FBD">
        <w:rPr>
          <w:rFonts w:ascii="Times New Roman" w:hAnsi="Times New Roman" w:cs="Times New Roman"/>
          <w:sz w:val="28"/>
          <w:szCs w:val="28"/>
        </w:rPr>
        <w:t xml:space="preserve"> График собственных значений</w:t>
      </w:r>
    </w:p>
    <w:p w14:paraId="743BEC64" w14:textId="08809763" w:rsidR="004C6BBF" w:rsidRDefault="004C6BBF" w:rsidP="000262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BBF">
        <w:rPr>
          <w:rFonts w:ascii="Times New Roman" w:hAnsi="Times New Roman" w:cs="Times New Roman"/>
          <w:sz w:val="28"/>
          <w:szCs w:val="28"/>
        </w:rPr>
        <w:t xml:space="preserve">На графике видно, что первые два фактора имеют наиболее высокие собственные значения (4,84 и 1,25). После второго фактора наблюдается резкое снижение: третье собственное значение составляет всего 0,57. Далее убывание становится плавным, собственные значения четвертого и последующих факторов не превышают 0,18. Это соответствует критерию </w:t>
      </w:r>
      <w:proofErr w:type="spellStart"/>
      <w:r w:rsidRPr="004C6BBF">
        <w:rPr>
          <w:rFonts w:ascii="Times New Roman" w:hAnsi="Times New Roman" w:cs="Times New Roman"/>
          <w:sz w:val="28"/>
          <w:szCs w:val="28"/>
        </w:rPr>
        <w:t>Кэттелл</w:t>
      </w:r>
      <w:r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4C6BBF">
        <w:rPr>
          <w:rFonts w:ascii="Times New Roman" w:hAnsi="Times New Roman" w:cs="Times New Roman"/>
          <w:sz w:val="28"/>
          <w:szCs w:val="28"/>
        </w:rPr>
        <w:t>: место, где убывание замедляется, находится между вторым и третьим факторами. Таким образом, оптимальное число факторов для выделения составляет два. Однако, учитывая, что третий фактор объясняет ещё 8,08% дисперсии и в сумме первые три фактора дают 95,08% объяснённой дисперсии, при содержательной интерпретации можно рассматривать и трёхфакторное решение.</w:t>
      </w:r>
    </w:p>
    <w:p w14:paraId="6E240414" w14:textId="77777777" w:rsidR="008F373E" w:rsidRDefault="008F373E" w:rsidP="004C6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5F0E40" w14:textId="6E83ADCB" w:rsidR="00026277" w:rsidRDefault="00026277" w:rsidP="00026277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22527536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DA264D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1350F" w:rsidRPr="0031350F">
        <w:rPr>
          <w:rFonts w:ascii="Times New Roman" w:hAnsi="Times New Roman" w:cs="Times New Roman"/>
          <w:b/>
          <w:bCs/>
          <w:color w:val="auto"/>
          <w:sz w:val="28"/>
          <w:szCs w:val="28"/>
        </w:rPr>
        <w:t>Факторные нагрузки до вращения</w:t>
      </w:r>
      <w:bookmarkEnd w:id="5"/>
    </w:p>
    <w:p w14:paraId="3A3C4B29" w14:textId="73ABC91F" w:rsidR="0031350F" w:rsidRDefault="00545FBD" w:rsidP="00313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t xml:space="preserve">В таблице 2.3 представлены факторные нагрузки для всех </w:t>
      </w:r>
      <w:r w:rsidR="00B4423A">
        <w:rPr>
          <w:rFonts w:ascii="Times New Roman" w:hAnsi="Times New Roman" w:cs="Times New Roman"/>
          <w:sz w:val="28"/>
          <w:szCs w:val="28"/>
        </w:rPr>
        <w:t>семи</w:t>
      </w:r>
      <w:r w:rsidRPr="00545FBD">
        <w:rPr>
          <w:rFonts w:ascii="Times New Roman" w:hAnsi="Times New Roman" w:cs="Times New Roman"/>
          <w:sz w:val="28"/>
          <w:szCs w:val="28"/>
        </w:rPr>
        <w:t xml:space="preserve"> факторов без вращения.</w:t>
      </w:r>
    </w:p>
    <w:p w14:paraId="41D5CED3" w14:textId="77777777" w:rsidR="00F91DAA" w:rsidRDefault="00F91D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ADF04E" w14:textId="7658A599" w:rsidR="0031350F" w:rsidRDefault="00545FBD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FBD">
        <w:rPr>
          <w:rFonts w:ascii="Times New Roman" w:hAnsi="Times New Roman" w:cs="Times New Roman"/>
          <w:sz w:val="28"/>
          <w:szCs w:val="28"/>
        </w:rPr>
        <w:lastRenderedPageBreak/>
        <w:t>Таблица 2.3 – Факторные нагрузки до вращения (</w:t>
      </w:r>
      <w:r w:rsidR="00B4423A">
        <w:rPr>
          <w:rFonts w:ascii="Times New Roman" w:hAnsi="Times New Roman" w:cs="Times New Roman"/>
          <w:sz w:val="28"/>
          <w:szCs w:val="28"/>
        </w:rPr>
        <w:t>7</w:t>
      </w:r>
      <w:r w:rsidRPr="00545FBD">
        <w:rPr>
          <w:rFonts w:ascii="Times New Roman" w:hAnsi="Times New Roman" w:cs="Times New Roman"/>
          <w:sz w:val="28"/>
          <w:szCs w:val="28"/>
        </w:rPr>
        <w:t xml:space="preserve"> факторов)</w:t>
      </w:r>
    </w:p>
    <w:p w14:paraId="1CD2C02E" w14:textId="5C237076" w:rsidR="002A6575" w:rsidRDefault="002A6575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C6A">
        <w:drawing>
          <wp:inline distT="0" distB="0" distL="0" distR="0" wp14:anchorId="569E5135" wp14:editId="129E3F24">
            <wp:extent cx="5765800" cy="2048933"/>
            <wp:effectExtent l="0" t="0" r="6350" b="8890"/>
            <wp:docPr id="168936347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39" b="10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04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69E3F" w14:textId="06AECEB3" w:rsidR="00B4423A" w:rsidRPr="00B4423A" w:rsidRDefault="00B4423A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3A">
        <w:rPr>
          <w:rFonts w:ascii="Times New Roman" w:hAnsi="Times New Roman" w:cs="Times New Roman"/>
          <w:sz w:val="28"/>
          <w:szCs w:val="28"/>
        </w:rPr>
        <w:t xml:space="preserve">Первый фактор имеет высокие нагрузки (по модулю более 0,7) у всех семи переменных, причём наибольшие значения наблюдаются у переменных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423A">
        <w:rPr>
          <w:rFonts w:ascii="Times New Roman" w:hAnsi="Times New Roman" w:cs="Times New Roman"/>
          <w:sz w:val="28"/>
          <w:szCs w:val="28"/>
        </w:rPr>
        <w:t xml:space="preserve">0,902),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423A">
        <w:rPr>
          <w:rFonts w:ascii="Times New Roman" w:hAnsi="Times New Roman" w:cs="Times New Roman"/>
          <w:sz w:val="28"/>
          <w:szCs w:val="28"/>
        </w:rPr>
        <w:t xml:space="preserve">0,885),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423A">
        <w:rPr>
          <w:rFonts w:ascii="Times New Roman" w:hAnsi="Times New Roman" w:cs="Times New Roman"/>
          <w:sz w:val="28"/>
          <w:szCs w:val="28"/>
        </w:rPr>
        <w:t xml:space="preserve">0,881),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423A">
        <w:rPr>
          <w:rFonts w:ascii="Times New Roman" w:hAnsi="Times New Roman" w:cs="Times New Roman"/>
          <w:sz w:val="28"/>
          <w:szCs w:val="28"/>
        </w:rPr>
        <w:t xml:space="preserve">0,828),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423A">
        <w:rPr>
          <w:rFonts w:ascii="Times New Roman" w:hAnsi="Times New Roman" w:cs="Times New Roman"/>
          <w:sz w:val="28"/>
          <w:szCs w:val="28"/>
        </w:rPr>
        <w:t>0,808). Это свидетельствует о том, что первый фактор отражает общий метаболический статус пациентов, объединяя антропометрические показатели, липидный профиль и пищевые привычки. Высокая доля объяснённой дисперсии (69,2%) подтверждает его доминирующую роль.</w:t>
      </w:r>
    </w:p>
    <w:p w14:paraId="2E19C057" w14:textId="7D165021" w:rsidR="00B4423A" w:rsidRPr="00B4423A" w:rsidRDefault="00B4423A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3A">
        <w:rPr>
          <w:rFonts w:ascii="Times New Roman" w:hAnsi="Times New Roman" w:cs="Times New Roman"/>
          <w:sz w:val="28"/>
          <w:szCs w:val="28"/>
        </w:rPr>
        <w:t xml:space="preserve">Второй фактор имеет высокие положительные нагрузки у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(0,614) и HbA1c (0,616), что указывает на выделение фактора, связанного непосредственно с углеводным обменом. Нагрузки остальных переменных на второй фактор незначительны.</w:t>
      </w:r>
    </w:p>
    <w:p w14:paraId="2A44AB99" w14:textId="08528BE1" w:rsidR="007417C4" w:rsidRDefault="00B4423A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3A">
        <w:rPr>
          <w:rFonts w:ascii="Times New Roman" w:hAnsi="Times New Roman" w:cs="Times New Roman"/>
          <w:sz w:val="28"/>
          <w:szCs w:val="28"/>
        </w:rPr>
        <w:t xml:space="preserve">Третий фактор имеет умеренную отрицательную нагрузку у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423A">
        <w:rPr>
          <w:rFonts w:ascii="Times New Roman" w:hAnsi="Times New Roman" w:cs="Times New Roman"/>
          <w:sz w:val="28"/>
          <w:szCs w:val="28"/>
        </w:rPr>
        <w:t xml:space="preserve">0,528) и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4423A">
        <w:rPr>
          <w:rFonts w:ascii="Times New Roman" w:hAnsi="Times New Roman" w:cs="Times New Roman"/>
          <w:sz w:val="28"/>
          <w:szCs w:val="28"/>
        </w:rPr>
        <w:t>0,343), что позволяет интерпретировать его как дополнительную составляющую липидного обмена, не полностью учтённую первым фактором.</w:t>
      </w:r>
    </w:p>
    <w:p w14:paraId="36447689" w14:textId="2B749FAF" w:rsidR="00020738" w:rsidRPr="00020738" w:rsidRDefault="00020738" w:rsidP="00020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t xml:space="preserve">В таблице 2.4 представлены факторные нагрузки для первых </w:t>
      </w:r>
      <w:r w:rsidR="00B4423A">
        <w:rPr>
          <w:rFonts w:ascii="Times New Roman" w:hAnsi="Times New Roman" w:cs="Times New Roman"/>
          <w:sz w:val="28"/>
          <w:szCs w:val="28"/>
        </w:rPr>
        <w:t>трёх</w:t>
      </w:r>
      <w:r w:rsidRPr="00020738">
        <w:rPr>
          <w:rFonts w:ascii="Times New Roman" w:hAnsi="Times New Roman" w:cs="Times New Roman"/>
          <w:sz w:val="28"/>
          <w:szCs w:val="28"/>
        </w:rPr>
        <w:t xml:space="preserve"> факторов без вращения.</w:t>
      </w:r>
    </w:p>
    <w:p w14:paraId="50A182B8" w14:textId="77777777" w:rsidR="00F91DAA" w:rsidRDefault="00F91D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5E79E3" w14:textId="426C5263" w:rsidR="00545FBD" w:rsidRDefault="00020738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lastRenderedPageBreak/>
        <w:t>Таблица 2.4 – Факторные нагрузки до вращения (</w:t>
      </w:r>
      <w:r w:rsidR="00B4423A">
        <w:rPr>
          <w:rFonts w:ascii="Times New Roman" w:hAnsi="Times New Roman" w:cs="Times New Roman"/>
          <w:sz w:val="28"/>
          <w:szCs w:val="28"/>
        </w:rPr>
        <w:t>3</w:t>
      </w:r>
      <w:r w:rsidRPr="00020738">
        <w:rPr>
          <w:rFonts w:ascii="Times New Roman" w:hAnsi="Times New Roman" w:cs="Times New Roman"/>
          <w:sz w:val="28"/>
          <w:szCs w:val="28"/>
        </w:rPr>
        <w:t xml:space="preserve"> фактора)</w:t>
      </w:r>
    </w:p>
    <w:p w14:paraId="42E527B2" w14:textId="6C30A5A9" w:rsidR="002A6575" w:rsidRDefault="002A6575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C6A">
        <w:drawing>
          <wp:inline distT="0" distB="0" distL="0" distR="0" wp14:anchorId="215047F9" wp14:editId="1FE5CD70">
            <wp:extent cx="4385945" cy="2294467"/>
            <wp:effectExtent l="0" t="0" r="0" b="0"/>
            <wp:docPr id="57313277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229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5D918" w14:textId="10AD2603" w:rsidR="00020738" w:rsidRDefault="00020738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t> </w:t>
      </w:r>
      <w:r w:rsidR="00B4423A" w:rsidRPr="00B4423A">
        <w:rPr>
          <w:rFonts w:ascii="Times New Roman" w:hAnsi="Times New Roman" w:cs="Times New Roman"/>
          <w:sz w:val="28"/>
          <w:szCs w:val="28"/>
        </w:rPr>
        <w:t>Структура трёх факторов полностью сохраняет выявленные закономерности. Первый фактор остаётся генеральным метаболическим, второй</w:t>
      </w:r>
      <w:r w:rsidR="00B4423A">
        <w:rPr>
          <w:rFonts w:ascii="Times New Roman" w:hAnsi="Times New Roman" w:cs="Times New Roman"/>
          <w:sz w:val="28"/>
          <w:szCs w:val="28"/>
        </w:rPr>
        <w:t xml:space="preserve"> – </w:t>
      </w:r>
      <w:r w:rsidR="00B4423A" w:rsidRPr="00B4423A">
        <w:rPr>
          <w:rFonts w:ascii="Times New Roman" w:hAnsi="Times New Roman" w:cs="Times New Roman"/>
          <w:sz w:val="28"/>
          <w:szCs w:val="28"/>
        </w:rPr>
        <w:t xml:space="preserve">фактором углеводного обмена, третий </w:t>
      </w:r>
      <w:r w:rsidR="00B4423A">
        <w:rPr>
          <w:rFonts w:ascii="Times New Roman" w:hAnsi="Times New Roman" w:cs="Times New Roman"/>
          <w:sz w:val="28"/>
          <w:szCs w:val="28"/>
        </w:rPr>
        <w:t>–</w:t>
      </w:r>
      <w:r w:rsidR="00B4423A" w:rsidRPr="00B4423A">
        <w:rPr>
          <w:rFonts w:ascii="Times New Roman" w:hAnsi="Times New Roman" w:cs="Times New Roman"/>
          <w:sz w:val="28"/>
          <w:szCs w:val="28"/>
        </w:rPr>
        <w:t xml:space="preserve"> фактором, связанным с потреблением сахара и уровнем триглицеридов. Такое распределение нагрузок позволяет перейти к вращению факторов для получения более чёткой и интерпретируемой структуры</w:t>
      </w:r>
      <w:r w:rsidR="007417C4">
        <w:rPr>
          <w:rFonts w:ascii="Times New Roman" w:hAnsi="Times New Roman" w:cs="Times New Roman"/>
          <w:sz w:val="28"/>
          <w:szCs w:val="28"/>
        </w:rPr>
        <w:t>.</w:t>
      </w:r>
    </w:p>
    <w:p w14:paraId="3F075379" w14:textId="77777777" w:rsidR="00020738" w:rsidRDefault="00020738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C3211" w14:textId="30FAA981" w:rsidR="0031350F" w:rsidRDefault="0031350F" w:rsidP="00E25A3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_Toc22527536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2.5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5A3F" w:rsidRPr="00E25A3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Вращение факторов (</w:t>
      </w:r>
      <w:proofErr w:type="spellStart"/>
      <w:r w:rsidR="00E25A3F" w:rsidRPr="00E25A3F">
        <w:rPr>
          <w:rFonts w:ascii="Times New Roman" w:hAnsi="Times New Roman" w:cs="Times New Roman"/>
          <w:b/>
          <w:bCs/>
          <w:color w:val="auto"/>
          <w:sz w:val="28"/>
          <w:szCs w:val="28"/>
        </w:rPr>
        <w:t>Varimax</w:t>
      </w:r>
      <w:proofErr w:type="spellEnd"/>
      <w:r w:rsidR="00E25A3F" w:rsidRPr="00E25A3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6"/>
    </w:p>
    <w:p w14:paraId="1683C74C" w14:textId="5E7A2984" w:rsidR="00DB015B" w:rsidRDefault="00DB015B" w:rsidP="000207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15B">
        <w:rPr>
          <w:rFonts w:ascii="Times New Roman" w:hAnsi="Times New Roman" w:cs="Times New Roman"/>
          <w:sz w:val="28"/>
          <w:szCs w:val="28"/>
        </w:rPr>
        <w:t xml:space="preserve">Для улучшения интерпретации и получения более четкой структуры было выполнено вращение методом </w:t>
      </w:r>
      <w:proofErr w:type="spellStart"/>
      <w:r w:rsidRPr="00DB015B">
        <w:rPr>
          <w:rFonts w:ascii="Times New Roman" w:hAnsi="Times New Roman" w:cs="Times New Roman"/>
          <w:sz w:val="28"/>
          <w:szCs w:val="28"/>
        </w:rPr>
        <w:t>Varimax</w:t>
      </w:r>
      <w:proofErr w:type="spellEnd"/>
      <w:r w:rsidRPr="00DB0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15B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DB015B">
        <w:rPr>
          <w:rFonts w:ascii="Times New Roman" w:hAnsi="Times New Roman" w:cs="Times New Roman"/>
          <w:sz w:val="28"/>
          <w:szCs w:val="28"/>
        </w:rPr>
        <w:t>. В таблице 2.5 представлены факторные нагрузки после вращения для четыр</w:t>
      </w:r>
      <w:r w:rsidR="00B50927">
        <w:rPr>
          <w:rFonts w:ascii="Times New Roman" w:hAnsi="Times New Roman" w:cs="Times New Roman"/>
          <w:sz w:val="28"/>
          <w:szCs w:val="28"/>
        </w:rPr>
        <w:t>е</w:t>
      </w:r>
      <w:r w:rsidRPr="00DB015B">
        <w:rPr>
          <w:rFonts w:ascii="Times New Roman" w:hAnsi="Times New Roman" w:cs="Times New Roman"/>
          <w:sz w:val="28"/>
          <w:szCs w:val="28"/>
        </w:rPr>
        <w:t>х факторов.</w:t>
      </w:r>
    </w:p>
    <w:p w14:paraId="53635E8D" w14:textId="41E56261" w:rsidR="00E25A3F" w:rsidRDefault="00020738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t>Таблица 2.5 – Факторные нагрузки после вращения (</w:t>
      </w:r>
      <w:proofErr w:type="spellStart"/>
      <w:r w:rsidRPr="00020738">
        <w:rPr>
          <w:rFonts w:ascii="Times New Roman" w:hAnsi="Times New Roman" w:cs="Times New Roman"/>
          <w:sz w:val="28"/>
          <w:szCs w:val="28"/>
        </w:rPr>
        <w:t>Varimax</w:t>
      </w:r>
      <w:proofErr w:type="spellEnd"/>
      <w:r w:rsidRPr="00020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0738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020738">
        <w:rPr>
          <w:rFonts w:ascii="Times New Roman" w:hAnsi="Times New Roman" w:cs="Times New Roman"/>
          <w:sz w:val="28"/>
          <w:szCs w:val="28"/>
        </w:rPr>
        <w:t>)</w:t>
      </w:r>
    </w:p>
    <w:p w14:paraId="2C4A1377" w14:textId="3034168C" w:rsidR="002A6575" w:rsidRDefault="002A6575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C6A">
        <w:drawing>
          <wp:inline distT="0" distB="0" distL="0" distR="0" wp14:anchorId="5951C37D" wp14:editId="30C568F4">
            <wp:extent cx="4538345" cy="2311400"/>
            <wp:effectExtent l="0" t="0" r="0" b="0"/>
            <wp:docPr id="7770767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0AD03" w14:textId="464BE0EF" w:rsidR="00B4423A" w:rsidRDefault="00DB015B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15B">
        <w:rPr>
          <w:rFonts w:ascii="Times New Roman" w:hAnsi="Times New Roman" w:cs="Times New Roman"/>
          <w:sz w:val="28"/>
          <w:szCs w:val="28"/>
        </w:rPr>
        <w:lastRenderedPageBreak/>
        <w:t>После вращения структура факторных нагрузок стала более четкой и удобной</w:t>
      </w:r>
      <w:r w:rsidR="00B4423A">
        <w:rPr>
          <w:rFonts w:ascii="Times New Roman" w:hAnsi="Times New Roman" w:cs="Times New Roman"/>
          <w:sz w:val="28"/>
          <w:szCs w:val="28"/>
        </w:rPr>
        <w:t xml:space="preserve"> для интерпретации</w:t>
      </w:r>
      <w:r w:rsidRPr="00DB015B">
        <w:rPr>
          <w:rFonts w:ascii="Times New Roman" w:hAnsi="Times New Roman" w:cs="Times New Roman"/>
          <w:sz w:val="28"/>
          <w:szCs w:val="28"/>
        </w:rPr>
        <w:t>.</w:t>
      </w:r>
    </w:p>
    <w:p w14:paraId="40E8354E" w14:textId="0A8385FC" w:rsidR="00B4423A" w:rsidRPr="00B4423A" w:rsidRDefault="00B4423A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3A">
        <w:rPr>
          <w:rFonts w:ascii="Times New Roman" w:hAnsi="Times New Roman" w:cs="Times New Roman"/>
          <w:sz w:val="28"/>
          <w:szCs w:val="28"/>
        </w:rPr>
        <w:t xml:space="preserve">Первый фактор объединяет переменные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(0,923),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(0,895) и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(0,889). Эти показатели тесно связаны между собой и отражают антропометрические характеристики пациентов, а также их пищевое поведение. Данный фактор можно интерпретировать как «антропометрический и пищевой»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23A">
        <w:rPr>
          <w:rFonts w:ascii="Times New Roman" w:hAnsi="Times New Roman" w:cs="Times New Roman"/>
          <w:sz w:val="28"/>
          <w:szCs w:val="28"/>
        </w:rPr>
        <w:t>он характеризует избыточную массу тела, абдоминальное ожирение и высокую калорийность рациона.</w:t>
      </w:r>
    </w:p>
    <w:p w14:paraId="0850EA7F" w14:textId="7A6D3649" w:rsidR="00B4423A" w:rsidRPr="00B4423A" w:rsidRDefault="00B4423A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3A">
        <w:rPr>
          <w:rFonts w:ascii="Times New Roman" w:hAnsi="Times New Roman" w:cs="Times New Roman"/>
          <w:sz w:val="28"/>
          <w:szCs w:val="28"/>
        </w:rPr>
        <w:t xml:space="preserve">Второй фактор имеет высокие нагрузки у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(0,941) и HbA1c (0,942). Эти две переменные являются ключевыми маркерами углеводного обмена и диагностики сахарного диабета. Фактор получил название «углеводный обмен», так как отражает состояние гликемии и долгосрочного контроля уровня глюкозы.</w:t>
      </w:r>
    </w:p>
    <w:p w14:paraId="07075294" w14:textId="10FCCEC9" w:rsidR="00B4423A" w:rsidRPr="00B4423A" w:rsidRDefault="00B4423A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3A">
        <w:rPr>
          <w:rFonts w:ascii="Times New Roman" w:hAnsi="Times New Roman" w:cs="Times New Roman"/>
          <w:sz w:val="28"/>
          <w:szCs w:val="28"/>
        </w:rPr>
        <w:t xml:space="preserve">Третий фактор объединяет переменные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(0,742) и </w:t>
      </w:r>
      <w:proofErr w:type="spellStart"/>
      <w:r w:rsidRPr="00B4423A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B4423A">
        <w:rPr>
          <w:rFonts w:ascii="Times New Roman" w:hAnsi="Times New Roman" w:cs="Times New Roman"/>
          <w:sz w:val="28"/>
          <w:szCs w:val="28"/>
        </w:rPr>
        <w:t xml:space="preserve"> (0,874). Это фактор «липидный обмен и потребление сахара», поскольку он связывает уровень триглицеридов с количеством потребляемого сахара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423A">
        <w:rPr>
          <w:rFonts w:ascii="Times New Roman" w:hAnsi="Times New Roman" w:cs="Times New Roman"/>
          <w:sz w:val="28"/>
          <w:szCs w:val="28"/>
        </w:rPr>
        <w:t xml:space="preserve"> известный патофизиологический механизм, когда избыток углеводов в рационе способствует повышению триглицеридов.</w:t>
      </w:r>
    </w:p>
    <w:p w14:paraId="0A8C62F5" w14:textId="4AD0058F" w:rsidR="00DB015B" w:rsidRDefault="00B4423A" w:rsidP="00B442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23A">
        <w:rPr>
          <w:rFonts w:ascii="Times New Roman" w:hAnsi="Times New Roman" w:cs="Times New Roman"/>
          <w:sz w:val="28"/>
          <w:szCs w:val="28"/>
        </w:rPr>
        <w:t xml:space="preserve">Вращение подтвердило выводы, полученные из корреляционной матрицы и анализа нагрузок до вращения. Выделенные три фактора объясняют 95,08% суммарной дисперсии исходных данных, причем после вращения доли объясненной дисперсии распределились следующим образом: первый фактор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423A">
        <w:rPr>
          <w:rFonts w:ascii="Times New Roman" w:hAnsi="Times New Roman" w:cs="Times New Roman"/>
          <w:sz w:val="28"/>
          <w:szCs w:val="28"/>
        </w:rPr>
        <w:t xml:space="preserve">41,4%, второй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423A">
        <w:rPr>
          <w:rFonts w:ascii="Times New Roman" w:hAnsi="Times New Roman" w:cs="Times New Roman"/>
          <w:sz w:val="28"/>
          <w:szCs w:val="28"/>
        </w:rPr>
        <w:t xml:space="preserve"> 30,2%, третий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4423A">
        <w:rPr>
          <w:rFonts w:ascii="Times New Roman" w:hAnsi="Times New Roman" w:cs="Times New Roman"/>
          <w:sz w:val="28"/>
          <w:szCs w:val="28"/>
        </w:rPr>
        <w:t xml:space="preserve"> 23,5%. Это свидетельствует о том, что структура данных хорошо описывается тремя латентными факторами, каждый из которых имеет ясное содержательное значение.</w:t>
      </w:r>
    </w:p>
    <w:p w14:paraId="134AE858" w14:textId="77777777" w:rsidR="0023148F" w:rsidRDefault="0023148F" w:rsidP="001A5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D56585" w14:textId="1F60A7F5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2527536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2.6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5A3F" w:rsidRPr="00E25A3F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График факторных нагрузок</w:t>
      </w:r>
      <w:bookmarkEnd w:id="7"/>
    </w:p>
    <w:p w14:paraId="7902CF3E" w14:textId="1C60EC44" w:rsidR="0031350F" w:rsidRDefault="00707EB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BB">
        <w:rPr>
          <w:rFonts w:ascii="Times New Roman" w:hAnsi="Times New Roman" w:cs="Times New Roman"/>
          <w:sz w:val="28"/>
          <w:szCs w:val="28"/>
        </w:rPr>
        <w:t xml:space="preserve">На рисунках 2–5 представлены графики факторных нагрузок после вращения методом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Varimax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>.</w:t>
      </w:r>
    </w:p>
    <w:p w14:paraId="7007CDBD" w14:textId="36DA0228" w:rsidR="00020738" w:rsidRDefault="0023672B" w:rsidP="00C12924">
      <w:pPr>
        <w:spacing w:after="0" w:line="360" w:lineRule="auto"/>
        <w:ind w:firstLine="709"/>
        <w:jc w:val="both"/>
      </w:pPr>
      <w:r>
        <w:object w:dxaOrig="6161" w:dyaOrig="4620" w14:anchorId="34747DFC">
          <v:shape id="_x0000_i1087" type="#_x0000_t75" style="width:308pt;height:231.35pt" o:ole="">
            <v:imagedata r:id="rId14" o:title="" cropbottom="13672f" cropright="13163f"/>
          </v:shape>
          <o:OLEObject Type="Embed" ProgID="STATISTICA.Graph" ShapeID="_x0000_i1087" DrawAspect="Content" ObjectID="_1835907465" r:id="rId15">
            <o:FieldCodes>\s</o:FieldCodes>
          </o:OLEObject>
        </w:object>
      </w:r>
    </w:p>
    <w:p w14:paraId="0CABD6B9" w14:textId="39C95C1A" w:rsidR="00020738" w:rsidRDefault="00020738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t xml:space="preserve">Рисунок 2 – Факторные нагрузки, Фактор 1 против Фактора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BC50DC5" w14:textId="77777777" w:rsidR="00F91DAA" w:rsidRDefault="00F91DAA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ADBE68" w14:textId="7630DE17" w:rsidR="002A6575" w:rsidRDefault="00707EB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BB">
        <w:rPr>
          <w:rFonts w:ascii="Times New Roman" w:hAnsi="Times New Roman" w:cs="Times New Roman"/>
          <w:sz w:val="28"/>
          <w:szCs w:val="28"/>
        </w:rPr>
        <w:t xml:space="preserve">На графике, отображающем нагрузки первого и второго факторов, отчетливо видно, что переменные разделяются на две четкие группы.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имеют высокие положительные нагрузки по первому фактору и низкие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07EBB">
        <w:rPr>
          <w:rFonts w:ascii="Times New Roman" w:hAnsi="Times New Roman" w:cs="Times New Roman"/>
          <w:sz w:val="28"/>
          <w:szCs w:val="28"/>
        </w:rPr>
        <w:t xml:space="preserve"> по второму. В свою очередь,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HbA1c обладают высокими нагрузками по второму фактору. Переменные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располагаются в промежуточной области, что соответствует их участию в третьем факторе.</w:t>
      </w:r>
    </w:p>
    <w:p w14:paraId="46EA4455" w14:textId="3F5B9470" w:rsidR="00707EBB" w:rsidRDefault="0023672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6587" w:dyaOrig="4982" w14:anchorId="0F17C264">
          <v:shape id="_x0000_i1085" type="#_x0000_t75" style="width:329.35pt;height:249.35pt" o:ole="">
            <v:imagedata r:id="rId16" o:title="" cropbottom="13151f" cropright="13163f"/>
          </v:shape>
          <o:OLEObject Type="Embed" ProgID="STATISTICA.Graph" ShapeID="_x0000_i1085" DrawAspect="Content" ObjectID="_1835907466" r:id="rId17">
            <o:FieldCodes>\s</o:FieldCodes>
          </o:OLEObject>
        </w:object>
      </w:r>
    </w:p>
    <w:p w14:paraId="53BEC892" w14:textId="34A25621" w:rsidR="002A6575" w:rsidRDefault="002A6575" w:rsidP="002A6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20738">
        <w:rPr>
          <w:rFonts w:ascii="Times New Roman" w:hAnsi="Times New Roman" w:cs="Times New Roman"/>
          <w:sz w:val="28"/>
          <w:szCs w:val="28"/>
        </w:rPr>
        <w:t xml:space="preserve"> – Факторные нагрузки, Фактор 1 против Фактора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1BA50E9" w14:textId="61AE0A51" w:rsidR="002A6575" w:rsidRDefault="00707EB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BB">
        <w:rPr>
          <w:rFonts w:ascii="Times New Roman" w:hAnsi="Times New Roman" w:cs="Times New Roman"/>
          <w:sz w:val="28"/>
          <w:szCs w:val="28"/>
        </w:rPr>
        <w:lastRenderedPageBreak/>
        <w:t xml:space="preserve">На графике первого и третьего факторов также наблюдается четкое разделение.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образуют компактную группу с высокими нагрузками по третьему фактору. Переменные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по-прежнему тесно связаны с первым фактором. Гликемические показатели располагаются ближе к началу координат по третьему фактору, что подтверждает их независимость от фактора липидного обмена.</w:t>
      </w:r>
    </w:p>
    <w:p w14:paraId="410AA847" w14:textId="77777777" w:rsidR="0023672B" w:rsidRDefault="0023672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3F8AF9" w14:textId="2BA63D7C" w:rsidR="00707EBB" w:rsidRDefault="0023672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6854" w:dyaOrig="5191" w14:anchorId="08F3C4BB">
          <v:shape id="_x0000_i1067" type="#_x0000_t75" style="width:342.65pt;height:259.35pt" o:ole="">
            <v:imagedata r:id="rId18" o:title="" cropbottom="13430f" cropright="13254f"/>
          </v:shape>
          <o:OLEObject Type="Embed" ProgID="STATISTICA.Graph" ShapeID="_x0000_i1067" DrawAspect="Content" ObjectID="_1835907467" r:id="rId19">
            <o:FieldCodes>\s</o:FieldCodes>
          </o:OLEObject>
        </w:object>
      </w:r>
    </w:p>
    <w:p w14:paraId="74B671C7" w14:textId="2B6F0CAB" w:rsidR="002A6575" w:rsidRDefault="002A6575" w:rsidP="002A6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20738">
        <w:rPr>
          <w:rFonts w:ascii="Times New Roman" w:hAnsi="Times New Roman" w:cs="Times New Roman"/>
          <w:sz w:val="28"/>
          <w:szCs w:val="28"/>
        </w:rPr>
        <w:t xml:space="preserve"> – Факторные нагрузки, Фактор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20738">
        <w:rPr>
          <w:rFonts w:ascii="Times New Roman" w:hAnsi="Times New Roman" w:cs="Times New Roman"/>
          <w:sz w:val="28"/>
          <w:szCs w:val="28"/>
        </w:rPr>
        <w:t xml:space="preserve"> против Фактора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3520F96" w14:textId="77777777" w:rsidR="00F91DAA" w:rsidRDefault="00F91DAA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1299D" w14:textId="516CBB16" w:rsidR="002A6575" w:rsidRDefault="00707EB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BB">
        <w:rPr>
          <w:rFonts w:ascii="Times New Roman" w:hAnsi="Times New Roman" w:cs="Times New Roman"/>
          <w:sz w:val="28"/>
          <w:szCs w:val="28"/>
        </w:rPr>
        <w:t xml:space="preserve">На графике второго и третьего факторов видно, что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HbA1c образуют отдельный кластер, связанный со вторым фактором, а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7EBB">
        <w:rPr>
          <w:rFonts w:ascii="Times New Roman" w:hAnsi="Times New Roman" w:cs="Times New Roman"/>
          <w:sz w:val="28"/>
          <w:szCs w:val="28"/>
        </w:rPr>
        <w:t xml:space="preserve"> кластер, связанный с третьим фактором.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имеют низкие нагрузки по обоим факторам, что согласуется с их принадлежностью к первому фактору.</w:t>
      </w:r>
    </w:p>
    <w:p w14:paraId="13C4D5B7" w14:textId="77777777" w:rsidR="0023672B" w:rsidRDefault="0023672B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12C63" w14:textId="5E314972" w:rsidR="00707EBB" w:rsidRDefault="00D837FE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object w:dxaOrig="5813" w:dyaOrig="4411" w14:anchorId="4C1246A8">
          <v:shape id="_x0000_i1095" type="#_x0000_t75" style="width:290.65pt;height:220.65pt" o:ole="">
            <v:imagedata r:id="rId20" o:title="" cropbottom="13254f" cropright="13254f"/>
          </v:shape>
          <o:OLEObject Type="Embed" ProgID="STATISTICA.Graph" ShapeID="_x0000_i1095" DrawAspect="Content" ObjectID="_1835907468" r:id="rId21">
            <o:FieldCodes>\s</o:FieldCodes>
          </o:OLEObject>
        </w:object>
      </w:r>
    </w:p>
    <w:p w14:paraId="16EC798F" w14:textId="55F6345D" w:rsidR="002A6575" w:rsidRDefault="002A6575" w:rsidP="002A65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073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2073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Трехмерный график факторных нагрузок</w:t>
      </w:r>
    </w:p>
    <w:p w14:paraId="675234C3" w14:textId="77777777" w:rsidR="00F91DAA" w:rsidRDefault="00F91DAA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01EC6C" w14:textId="0E2CCA1B" w:rsidR="00707EBB" w:rsidRDefault="00707EBB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BB">
        <w:rPr>
          <w:rFonts w:ascii="Times New Roman" w:hAnsi="Times New Roman" w:cs="Times New Roman"/>
          <w:sz w:val="28"/>
          <w:szCs w:val="28"/>
        </w:rPr>
        <w:t xml:space="preserve">На трехмерном графике отчетливо видны три сгущения переменных, соответствующие трем выделенным факторам. Переменные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сконцентрированы вблизи оси Фактора 1;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HbA1c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7EBB">
        <w:rPr>
          <w:rFonts w:ascii="Times New Roman" w:hAnsi="Times New Roman" w:cs="Times New Roman"/>
          <w:sz w:val="28"/>
          <w:szCs w:val="28"/>
        </w:rPr>
        <w:t xml:space="preserve"> вблизи оси Фактора 2;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707EB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07EBB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07EBB">
        <w:rPr>
          <w:rFonts w:ascii="Times New Roman" w:hAnsi="Times New Roman" w:cs="Times New Roman"/>
          <w:sz w:val="28"/>
          <w:szCs w:val="28"/>
        </w:rPr>
        <w:t>вблизи оси Фактора 3. Такое расположение подтверждает, что вращение успешно разделило исходные переменные на три независимые группы, что полностью согласуется с интерпретацией, полученной на основе таблицы факторных нагрузок.</w:t>
      </w:r>
    </w:p>
    <w:p w14:paraId="7B34FB4D" w14:textId="77777777" w:rsidR="0031350F" w:rsidRDefault="0031350F" w:rsidP="00707EB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0D975E" w14:textId="162B0C1F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" w:name="_Toc2252753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2.7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5A3F" w:rsidRPr="00E25A3F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Коэффициенты факторных значений</w:t>
      </w:r>
      <w:bookmarkEnd w:id="8"/>
    </w:p>
    <w:p w14:paraId="59DE1FC3" w14:textId="65B73918" w:rsidR="00F91DAA" w:rsidRDefault="00AB6053" w:rsidP="00236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6053">
        <w:rPr>
          <w:rFonts w:ascii="Times New Roman" w:hAnsi="Times New Roman" w:cs="Times New Roman"/>
          <w:sz w:val="28"/>
          <w:szCs w:val="28"/>
        </w:rPr>
        <w:t>В таблице 2.6 представлены коэффициенты, с помощью которых вычисляются значения факторов для каждого наблюдения. Чем выше коэффициент у переменной, тем больше ее вклад в соответствующий фактор</w:t>
      </w:r>
      <w:r w:rsidR="00274167" w:rsidRPr="00274167">
        <w:rPr>
          <w:rFonts w:ascii="Times New Roman" w:hAnsi="Times New Roman" w:cs="Times New Roman"/>
          <w:sz w:val="28"/>
          <w:szCs w:val="28"/>
        </w:rPr>
        <w:t>.</w:t>
      </w:r>
    </w:p>
    <w:p w14:paraId="257798D1" w14:textId="57BF1D91" w:rsidR="0031350F" w:rsidRDefault="00AF018E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18E">
        <w:rPr>
          <w:rFonts w:ascii="Times New Roman" w:hAnsi="Times New Roman" w:cs="Times New Roman"/>
          <w:sz w:val="28"/>
          <w:szCs w:val="28"/>
        </w:rPr>
        <w:t>Таблица 2.6 – Коэффициенты факторных значений</w:t>
      </w:r>
    </w:p>
    <w:p w14:paraId="762D603A" w14:textId="45D18117" w:rsidR="002A6575" w:rsidRDefault="002A6575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C6A">
        <w:drawing>
          <wp:inline distT="0" distB="0" distL="0" distR="0" wp14:anchorId="1152181D" wp14:editId="5D4413DA">
            <wp:extent cx="4343400" cy="1666875"/>
            <wp:effectExtent l="0" t="0" r="0" b="9525"/>
            <wp:docPr id="2401196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147" cy="167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19CB2" w14:textId="6EBAFBC3" w:rsidR="0023148F" w:rsidRDefault="0023148F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48F">
        <w:rPr>
          <w:rFonts w:ascii="Times New Roman" w:hAnsi="Times New Roman" w:cs="Times New Roman"/>
          <w:sz w:val="28"/>
          <w:szCs w:val="28"/>
        </w:rPr>
        <w:lastRenderedPageBreak/>
        <w:t>Полученные значения полностью соответствуют структуре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3148F">
        <w:rPr>
          <w:rFonts w:ascii="Times New Roman" w:hAnsi="Times New Roman" w:cs="Times New Roman"/>
          <w:sz w:val="28"/>
          <w:szCs w:val="28"/>
        </w:rPr>
        <w:t xml:space="preserve">Для первого фактора наибольший вклад дают переменные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 (0,4385),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 (0,4259) и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 (0,3943). Это подтверждает, что данный фактор формируется за счёт антропометрических характеристик и калорийности питания.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148F">
        <w:rPr>
          <w:rFonts w:ascii="Times New Roman" w:hAnsi="Times New Roman" w:cs="Times New Roman"/>
          <w:sz w:val="28"/>
          <w:szCs w:val="28"/>
        </w:rPr>
        <w:t>Для второго фактора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148F">
        <w:rPr>
          <w:rFonts w:ascii="Times New Roman" w:hAnsi="Times New Roman" w:cs="Times New Roman"/>
          <w:sz w:val="28"/>
          <w:szCs w:val="28"/>
        </w:rPr>
        <w:t xml:space="preserve">определяющий вклад обеспечивают HbA1c (0,6007) и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 (0,5994). Коэффициенты для остальных переменных близки к нулю, что указывает на независимость этого фактора от других показателей.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148F">
        <w:rPr>
          <w:rFonts w:ascii="Times New Roman" w:hAnsi="Times New Roman" w:cs="Times New Roman"/>
          <w:sz w:val="28"/>
          <w:szCs w:val="28"/>
        </w:rPr>
        <w:t xml:space="preserve">Для третьего фактора наибольший вклад вносят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 (0,8990) и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 (0,6114).</w:t>
      </w:r>
    </w:p>
    <w:p w14:paraId="733899F3" w14:textId="77777777" w:rsidR="00274167" w:rsidRDefault="00274167" w:rsidP="00C129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88367" w14:textId="142351CF" w:rsidR="0031350F" w:rsidRDefault="0031350F" w:rsidP="0031350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Toc2252753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2.8</w:t>
      </w:r>
      <w:r w:rsidRPr="00C22A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E25A3F" w:rsidRPr="00E25A3F">
        <w:rPr>
          <w:rFonts w:ascii="Times New Roman" w:hAnsi="Times New Roman" w:cs="Times New Roman"/>
          <w:b/>
          <w:bCs/>
          <w:color w:val="auto"/>
          <w:sz w:val="28"/>
          <w:szCs w:val="28"/>
        </w:rPr>
        <w:t>Факторные значения</w:t>
      </w:r>
      <w:bookmarkEnd w:id="9"/>
    </w:p>
    <w:p w14:paraId="3DAED957" w14:textId="75792A4F" w:rsidR="00AF018E" w:rsidRPr="00AF018E" w:rsidRDefault="00AF018E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18E">
        <w:rPr>
          <w:rFonts w:ascii="Times New Roman" w:hAnsi="Times New Roman" w:cs="Times New Roman"/>
          <w:sz w:val="28"/>
          <w:szCs w:val="28"/>
        </w:rPr>
        <w:t>В таблице 2.7 представлены значения факторов для первых десяти наблюдений.</w:t>
      </w:r>
      <w:r w:rsidR="005739E9">
        <w:rPr>
          <w:rFonts w:ascii="Times New Roman" w:hAnsi="Times New Roman" w:cs="Times New Roman"/>
          <w:sz w:val="28"/>
          <w:szCs w:val="28"/>
        </w:rPr>
        <w:t xml:space="preserve"> </w:t>
      </w:r>
      <w:r w:rsidR="005739E9" w:rsidRPr="005739E9">
        <w:rPr>
          <w:rFonts w:ascii="Times New Roman" w:hAnsi="Times New Roman" w:cs="Times New Roman"/>
          <w:sz w:val="28"/>
          <w:szCs w:val="28"/>
        </w:rPr>
        <w:t xml:space="preserve">Факторные значения рассчитываются по коэффициентам из таблицы 2.6 и позволяют оценить </w:t>
      </w:r>
      <w:r w:rsidR="0023148F" w:rsidRPr="0023148F">
        <w:rPr>
          <w:rFonts w:ascii="Times New Roman" w:hAnsi="Times New Roman" w:cs="Times New Roman"/>
          <w:sz w:val="28"/>
          <w:szCs w:val="28"/>
        </w:rPr>
        <w:t>каждого пациента по выделенным латентным факторам</w:t>
      </w:r>
      <w:r w:rsidR="005739E9" w:rsidRPr="005739E9">
        <w:rPr>
          <w:rFonts w:ascii="Times New Roman" w:hAnsi="Times New Roman" w:cs="Times New Roman"/>
          <w:sz w:val="28"/>
          <w:szCs w:val="28"/>
        </w:rPr>
        <w:t>.</w:t>
      </w:r>
    </w:p>
    <w:p w14:paraId="2166E5B4" w14:textId="61C731A9" w:rsidR="00AF018E" w:rsidRDefault="00AF018E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18E">
        <w:rPr>
          <w:rFonts w:ascii="Times New Roman" w:hAnsi="Times New Roman" w:cs="Times New Roman"/>
          <w:sz w:val="28"/>
          <w:szCs w:val="28"/>
        </w:rPr>
        <w:t>Таблица 2.7 – Факторные значения</w:t>
      </w:r>
    </w:p>
    <w:p w14:paraId="7F614294" w14:textId="514423EC" w:rsidR="002A6575" w:rsidRDefault="002A6575" w:rsidP="00AF0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C6A">
        <w:drawing>
          <wp:inline distT="0" distB="0" distL="0" distR="0" wp14:anchorId="3E22EDD3" wp14:editId="0E0E3DA8">
            <wp:extent cx="4508724" cy="2235200"/>
            <wp:effectExtent l="0" t="0" r="6350" b="0"/>
            <wp:docPr id="26352666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058" cy="2262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07A19" w14:textId="62495271" w:rsidR="0023148F" w:rsidRPr="0023148F" w:rsidRDefault="0023148F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48F">
        <w:rPr>
          <w:rFonts w:ascii="Times New Roman" w:hAnsi="Times New Roman" w:cs="Times New Roman"/>
          <w:sz w:val="28"/>
          <w:szCs w:val="28"/>
        </w:rPr>
        <w:t>Положительные значения по первому фактору соответствуют пациентам с повышенным индексом массы тела, большой окружностью талии и высоким потреблением калорий. Отрицательные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3148F">
        <w:rPr>
          <w:rFonts w:ascii="Times New Roman" w:hAnsi="Times New Roman" w:cs="Times New Roman"/>
          <w:sz w:val="28"/>
          <w:szCs w:val="28"/>
        </w:rPr>
        <w:t>пациентам с нормальными антропометрическими показателями и умеренной калорийностью рациона. Например, наблюдение 9 имеет высокое положительное значение по первому фактору (1,25893), что указывает на избыточную массу тела и высококалорийное питание.</w:t>
      </w:r>
    </w:p>
    <w:p w14:paraId="5D955EED" w14:textId="54466F9F" w:rsidR="0023148F" w:rsidRPr="0023148F" w:rsidRDefault="0023148F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48F">
        <w:rPr>
          <w:rFonts w:ascii="Times New Roman" w:hAnsi="Times New Roman" w:cs="Times New Roman"/>
          <w:sz w:val="28"/>
          <w:szCs w:val="28"/>
        </w:rPr>
        <w:lastRenderedPageBreak/>
        <w:t>Положительные значения по второму фактору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148F">
        <w:rPr>
          <w:rFonts w:ascii="Times New Roman" w:hAnsi="Times New Roman" w:cs="Times New Roman"/>
          <w:sz w:val="28"/>
          <w:szCs w:val="28"/>
        </w:rPr>
        <w:t>свидетельствуют о повышенном уровне глюкозы натощак и гликированного гемоглобина, что характерно для пациентов с нарушением углеводного обмена или сахарным диабетом. Отрицательные значения отражают нормальную гликемию. Наблюдения 4 (1,10472) и 10 (1,21182) демонстрируют высокие значения по второму фактору, что указывает на наличие гипергликемии.</w:t>
      </w:r>
    </w:p>
    <w:p w14:paraId="10DDAA95" w14:textId="2CDD360D" w:rsidR="0023148F" w:rsidRPr="0023148F" w:rsidRDefault="0023148F" w:rsidP="00236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48F">
        <w:rPr>
          <w:rFonts w:ascii="Times New Roman" w:hAnsi="Times New Roman" w:cs="Times New Roman"/>
          <w:sz w:val="28"/>
          <w:szCs w:val="28"/>
        </w:rPr>
        <w:t>Положительные значения по третьему фактору связаны с высоким уровнем триглицеридов и повышенным потреблением сахара. Отрицательные значения соответствуют нормальному липидному профилю и умеренному потреблению сахара. Наблюдени</w:t>
      </w:r>
      <w:r w:rsidR="0023672B">
        <w:rPr>
          <w:rFonts w:ascii="Times New Roman" w:hAnsi="Times New Roman" w:cs="Times New Roman"/>
          <w:sz w:val="28"/>
          <w:szCs w:val="28"/>
        </w:rPr>
        <w:t>е</w:t>
      </w:r>
      <w:r w:rsidRPr="0023148F">
        <w:rPr>
          <w:rFonts w:ascii="Times New Roman" w:hAnsi="Times New Roman" w:cs="Times New Roman"/>
          <w:sz w:val="28"/>
          <w:szCs w:val="28"/>
        </w:rPr>
        <w:t xml:space="preserve"> 3 (1,63827)</w:t>
      </w:r>
      <w:r w:rsidR="0023672B">
        <w:rPr>
          <w:rFonts w:ascii="Times New Roman" w:hAnsi="Times New Roman" w:cs="Times New Roman"/>
          <w:sz w:val="28"/>
          <w:szCs w:val="28"/>
        </w:rPr>
        <w:t xml:space="preserve"> </w:t>
      </w:r>
      <w:r w:rsidRPr="0023148F">
        <w:rPr>
          <w:rFonts w:ascii="Times New Roman" w:hAnsi="Times New Roman" w:cs="Times New Roman"/>
          <w:sz w:val="28"/>
          <w:szCs w:val="28"/>
        </w:rPr>
        <w:t>им</w:t>
      </w:r>
      <w:r w:rsidR="0023672B">
        <w:rPr>
          <w:rFonts w:ascii="Times New Roman" w:hAnsi="Times New Roman" w:cs="Times New Roman"/>
          <w:sz w:val="28"/>
          <w:szCs w:val="28"/>
        </w:rPr>
        <w:t>еет</w:t>
      </w:r>
      <w:r w:rsidRPr="0023148F">
        <w:rPr>
          <w:rFonts w:ascii="Times New Roman" w:hAnsi="Times New Roman" w:cs="Times New Roman"/>
          <w:sz w:val="28"/>
          <w:szCs w:val="28"/>
        </w:rPr>
        <w:t xml:space="preserve"> высокие положительные значения по третьему фактору, что указывает </w:t>
      </w:r>
      <w:r>
        <w:rPr>
          <w:rFonts w:ascii="Times New Roman" w:hAnsi="Times New Roman" w:cs="Times New Roman"/>
          <w:sz w:val="28"/>
          <w:szCs w:val="28"/>
        </w:rPr>
        <w:t xml:space="preserve">на избыток </w:t>
      </w:r>
      <w:r w:rsidRPr="0023148F">
        <w:rPr>
          <w:rFonts w:ascii="Times New Roman" w:hAnsi="Times New Roman" w:cs="Times New Roman"/>
          <w:sz w:val="28"/>
          <w:szCs w:val="28"/>
        </w:rPr>
        <w:t>сахара в рационе.</w:t>
      </w:r>
    </w:p>
    <w:p w14:paraId="3319AAB8" w14:textId="57D688CA" w:rsidR="005739E9" w:rsidRPr="003253C2" w:rsidRDefault="0023148F" w:rsidP="002314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48F">
        <w:rPr>
          <w:rFonts w:ascii="Times New Roman" w:hAnsi="Times New Roman" w:cs="Times New Roman"/>
          <w:sz w:val="28"/>
          <w:szCs w:val="28"/>
        </w:rPr>
        <w:t>Таким образом, процедура редукции данных позволила выделить три значимых фактора, которые в совокупности объясняют 95,08% общей дисперсии исходных переменных. Первый фактор, объясняющий 41,4% изменчивости, объединяет антропометрические показатели (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waist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>) и калорийность рациона (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daily_calorie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>) и интерпретируется как фактор «антропометрический и пищевой». Второй фактор, вносящий 30,2% в общую дисперсию, сформирован показателями углеводного обмена (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fasting_glucose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>, HbA1c) и получил название «углеводный обмен». Третий фактор (23,5% дисперсии) связан с уровнем триглицеридов и потреблением сахара (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triglycerides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148F">
        <w:rPr>
          <w:rFonts w:ascii="Times New Roman" w:hAnsi="Times New Roman" w:cs="Times New Roman"/>
          <w:sz w:val="28"/>
          <w:szCs w:val="28"/>
        </w:rPr>
        <w:t>sugar_intake</w:t>
      </w:r>
      <w:proofErr w:type="spellEnd"/>
      <w:r w:rsidRPr="0023148F">
        <w:rPr>
          <w:rFonts w:ascii="Times New Roman" w:hAnsi="Times New Roman" w:cs="Times New Roman"/>
          <w:sz w:val="28"/>
          <w:szCs w:val="28"/>
        </w:rPr>
        <w:t>) и интерпретируется как «липидный обмен и потребление сахара». В результате удалось сократить число анализируемых переменных с семи до трёх обобщённых факторов с сохранением практически всей информации, содержащейся в исходных данных.</w:t>
      </w:r>
    </w:p>
    <w:sectPr w:rsidR="005739E9" w:rsidRPr="003253C2" w:rsidSect="00A72F1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658B0"/>
    <w:multiLevelType w:val="hybridMultilevel"/>
    <w:tmpl w:val="4718D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5F60111"/>
    <w:multiLevelType w:val="multilevel"/>
    <w:tmpl w:val="266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C2AE1"/>
    <w:multiLevelType w:val="hybridMultilevel"/>
    <w:tmpl w:val="6A9084E8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C9C1671"/>
    <w:multiLevelType w:val="hybridMultilevel"/>
    <w:tmpl w:val="48F65306"/>
    <w:lvl w:ilvl="0" w:tplc="62CC8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44497729">
    <w:abstractNumId w:val="1"/>
  </w:num>
  <w:num w:numId="2" w16cid:durableId="474874644">
    <w:abstractNumId w:val="0"/>
  </w:num>
  <w:num w:numId="3" w16cid:durableId="782304438">
    <w:abstractNumId w:val="3"/>
  </w:num>
  <w:num w:numId="4" w16cid:durableId="1181317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F4"/>
    <w:rsid w:val="00000BFB"/>
    <w:rsid w:val="00001EDF"/>
    <w:rsid w:val="00004D59"/>
    <w:rsid w:val="000055AA"/>
    <w:rsid w:val="00015906"/>
    <w:rsid w:val="00020738"/>
    <w:rsid w:val="00023B90"/>
    <w:rsid w:val="000250B9"/>
    <w:rsid w:val="00025A5D"/>
    <w:rsid w:val="00026277"/>
    <w:rsid w:val="000349BC"/>
    <w:rsid w:val="00037BD1"/>
    <w:rsid w:val="0005184F"/>
    <w:rsid w:val="00054849"/>
    <w:rsid w:val="00060EF7"/>
    <w:rsid w:val="00063B6B"/>
    <w:rsid w:val="000667B1"/>
    <w:rsid w:val="00070DFE"/>
    <w:rsid w:val="00077AB1"/>
    <w:rsid w:val="00082C7A"/>
    <w:rsid w:val="00085783"/>
    <w:rsid w:val="000B233B"/>
    <w:rsid w:val="000B38F8"/>
    <w:rsid w:val="000C5945"/>
    <w:rsid w:val="000E46F8"/>
    <w:rsid w:val="001014A1"/>
    <w:rsid w:val="001045D7"/>
    <w:rsid w:val="001052F4"/>
    <w:rsid w:val="001159EF"/>
    <w:rsid w:val="001304E6"/>
    <w:rsid w:val="00133CC1"/>
    <w:rsid w:val="00162311"/>
    <w:rsid w:val="001648F5"/>
    <w:rsid w:val="00164E47"/>
    <w:rsid w:val="001715EC"/>
    <w:rsid w:val="00173F85"/>
    <w:rsid w:val="0017671A"/>
    <w:rsid w:val="00177C4C"/>
    <w:rsid w:val="001815A0"/>
    <w:rsid w:val="00185C67"/>
    <w:rsid w:val="0018659A"/>
    <w:rsid w:val="001903F6"/>
    <w:rsid w:val="00196DE7"/>
    <w:rsid w:val="001A2F73"/>
    <w:rsid w:val="001A51A6"/>
    <w:rsid w:val="001B6A48"/>
    <w:rsid w:val="001C5EC3"/>
    <w:rsid w:val="001D7A1C"/>
    <w:rsid w:val="001E1537"/>
    <w:rsid w:val="001E2F97"/>
    <w:rsid w:val="001E5952"/>
    <w:rsid w:val="001F6C36"/>
    <w:rsid w:val="00206A85"/>
    <w:rsid w:val="002150F2"/>
    <w:rsid w:val="00221810"/>
    <w:rsid w:val="002229AF"/>
    <w:rsid w:val="0023148F"/>
    <w:rsid w:val="0023378A"/>
    <w:rsid w:val="00234D96"/>
    <w:rsid w:val="0023672B"/>
    <w:rsid w:val="00246941"/>
    <w:rsid w:val="00253558"/>
    <w:rsid w:val="002626C5"/>
    <w:rsid w:val="002648E8"/>
    <w:rsid w:val="00274167"/>
    <w:rsid w:val="0027548C"/>
    <w:rsid w:val="0027580C"/>
    <w:rsid w:val="002761AE"/>
    <w:rsid w:val="002A2DD2"/>
    <w:rsid w:val="002A627D"/>
    <w:rsid w:val="002A6575"/>
    <w:rsid w:val="002B54F9"/>
    <w:rsid w:val="002B6ACB"/>
    <w:rsid w:val="002D50C3"/>
    <w:rsid w:val="002D6B75"/>
    <w:rsid w:val="002E2405"/>
    <w:rsid w:val="002E4E53"/>
    <w:rsid w:val="00301DE4"/>
    <w:rsid w:val="00302A68"/>
    <w:rsid w:val="0031275D"/>
    <w:rsid w:val="0031350F"/>
    <w:rsid w:val="003253C2"/>
    <w:rsid w:val="003264AC"/>
    <w:rsid w:val="00350192"/>
    <w:rsid w:val="00355117"/>
    <w:rsid w:val="00383A40"/>
    <w:rsid w:val="00384DE9"/>
    <w:rsid w:val="00386E99"/>
    <w:rsid w:val="003A3A68"/>
    <w:rsid w:val="003A51CA"/>
    <w:rsid w:val="003A589A"/>
    <w:rsid w:val="003A7503"/>
    <w:rsid w:val="003A7A3E"/>
    <w:rsid w:val="003B495E"/>
    <w:rsid w:val="003B5BFF"/>
    <w:rsid w:val="003C6E62"/>
    <w:rsid w:val="003D62E8"/>
    <w:rsid w:val="003D64E8"/>
    <w:rsid w:val="003E7D79"/>
    <w:rsid w:val="003F07BB"/>
    <w:rsid w:val="003F325F"/>
    <w:rsid w:val="003F4E05"/>
    <w:rsid w:val="003F512E"/>
    <w:rsid w:val="00406AED"/>
    <w:rsid w:val="00421439"/>
    <w:rsid w:val="00422E7C"/>
    <w:rsid w:val="00445711"/>
    <w:rsid w:val="004569A7"/>
    <w:rsid w:val="00457DA1"/>
    <w:rsid w:val="0048715B"/>
    <w:rsid w:val="00491C1F"/>
    <w:rsid w:val="00492915"/>
    <w:rsid w:val="0049358E"/>
    <w:rsid w:val="004A1112"/>
    <w:rsid w:val="004C6BBF"/>
    <w:rsid w:val="004D0222"/>
    <w:rsid w:val="004E4108"/>
    <w:rsid w:val="004E53C7"/>
    <w:rsid w:val="004E78AA"/>
    <w:rsid w:val="004F2997"/>
    <w:rsid w:val="004F30DF"/>
    <w:rsid w:val="00506B9C"/>
    <w:rsid w:val="00510DB4"/>
    <w:rsid w:val="0051692A"/>
    <w:rsid w:val="00536BCE"/>
    <w:rsid w:val="00545FBD"/>
    <w:rsid w:val="00547A84"/>
    <w:rsid w:val="0055386B"/>
    <w:rsid w:val="0056230E"/>
    <w:rsid w:val="005739E9"/>
    <w:rsid w:val="0058152A"/>
    <w:rsid w:val="0058614E"/>
    <w:rsid w:val="0059015E"/>
    <w:rsid w:val="00590F73"/>
    <w:rsid w:val="005A2F92"/>
    <w:rsid w:val="005A477E"/>
    <w:rsid w:val="005A4A54"/>
    <w:rsid w:val="005A4B1B"/>
    <w:rsid w:val="005A7DFF"/>
    <w:rsid w:val="005B13F0"/>
    <w:rsid w:val="005B270F"/>
    <w:rsid w:val="005C1CD0"/>
    <w:rsid w:val="005C1F74"/>
    <w:rsid w:val="005D631B"/>
    <w:rsid w:val="005D6B7B"/>
    <w:rsid w:val="0061046E"/>
    <w:rsid w:val="00617B1F"/>
    <w:rsid w:val="00621CBA"/>
    <w:rsid w:val="00636D8D"/>
    <w:rsid w:val="006552EB"/>
    <w:rsid w:val="006563A0"/>
    <w:rsid w:val="00657ACA"/>
    <w:rsid w:val="006734C1"/>
    <w:rsid w:val="00675C2D"/>
    <w:rsid w:val="00686AC6"/>
    <w:rsid w:val="00692005"/>
    <w:rsid w:val="006A1F2C"/>
    <w:rsid w:val="006A27C1"/>
    <w:rsid w:val="006A7B8C"/>
    <w:rsid w:val="006B40A8"/>
    <w:rsid w:val="006C2CE5"/>
    <w:rsid w:val="006C7523"/>
    <w:rsid w:val="006D08A9"/>
    <w:rsid w:val="006E6A6D"/>
    <w:rsid w:val="006E6F68"/>
    <w:rsid w:val="006E72DF"/>
    <w:rsid w:val="00707EBB"/>
    <w:rsid w:val="00712B1C"/>
    <w:rsid w:val="00722BCF"/>
    <w:rsid w:val="007417C4"/>
    <w:rsid w:val="007427F0"/>
    <w:rsid w:val="00743B48"/>
    <w:rsid w:val="00743FE3"/>
    <w:rsid w:val="007444AF"/>
    <w:rsid w:val="00745576"/>
    <w:rsid w:val="00746378"/>
    <w:rsid w:val="00746BAB"/>
    <w:rsid w:val="00793437"/>
    <w:rsid w:val="00793674"/>
    <w:rsid w:val="007B615C"/>
    <w:rsid w:val="007C1D0E"/>
    <w:rsid w:val="007C79F7"/>
    <w:rsid w:val="007D5AE8"/>
    <w:rsid w:val="007D64E8"/>
    <w:rsid w:val="007E37EF"/>
    <w:rsid w:val="007F2F89"/>
    <w:rsid w:val="007F3D8A"/>
    <w:rsid w:val="007F551E"/>
    <w:rsid w:val="007F5B56"/>
    <w:rsid w:val="00802E99"/>
    <w:rsid w:val="00805647"/>
    <w:rsid w:val="00813ABD"/>
    <w:rsid w:val="00817D69"/>
    <w:rsid w:val="00824AE8"/>
    <w:rsid w:val="00831ACB"/>
    <w:rsid w:val="0084530F"/>
    <w:rsid w:val="0085768D"/>
    <w:rsid w:val="00863737"/>
    <w:rsid w:val="00863FE9"/>
    <w:rsid w:val="00866C90"/>
    <w:rsid w:val="00871F7A"/>
    <w:rsid w:val="008814C5"/>
    <w:rsid w:val="0089157B"/>
    <w:rsid w:val="00891CF4"/>
    <w:rsid w:val="00892792"/>
    <w:rsid w:val="00895B16"/>
    <w:rsid w:val="008A136F"/>
    <w:rsid w:val="008B284F"/>
    <w:rsid w:val="008B5F46"/>
    <w:rsid w:val="008C1871"/>
    <w:rsid w:val="008C2D72"/>
    <w:rsid w:val="008D455D"/>
    <w:rsid w:val="008D45F1"/>
    <w:rsid w:val="008D46A0"/>
    <w:rsid w:val="008E133F"/>
    <w:rsid w:val="008F1DAB"/>
    <w:rsid w:val="008F373E"/>
    <w:rsid w:val="009031DB"/>
    <w:rsid w:val="00903E98"/>
    <w:rsid w:val="00906F26"/>
    <w:rsid w:val="00910280"/>
    <w:rsid w:val="00910724"/>
    <w:rsid w:val="0091166C"/>
    <w:rsid w:val="00914FCF"/>
    <w:rsid w:val="009209CA"/>
    <w:rsid w:val="00932CC9"/>
    <w:rsid w:val="00953827"/>
    <w:rsid w:val="00955381"/>
    <w:rsid w:val="0095749C"/>
    <w:rsid w:val="009737F0"/>
    <w:rsid w:val="00974E50"/>
    <w:rsid w:val="0098329C"/>
    <w:rsid w:val="00983611"/>
    <w:rsid w:val="00984955"/>
    <w:rsid w:val="00986ABC"/>
    <w:rsid w:val="00986BAB"/>
    <w:rsid w:val="0098722C"/>
    <w:rsid w:val="009929FD"/>
    <w:rsid w:val="00993464"/>
    <w:rsid w:val="00993BD2"/>
    <w:rsid w:val="00993F05"/>
    <w:rsid w:val="0099457C"/>
    <w:rsid w:val="009A1892"/>
    <w:rsid w:val="009A1E87"/>
    <w:rsid w:val="009A22B9"/>
    <w:rsid w:val="009A49F7"/>
    <w:rsid w:val="009B4692"/>
    <w:rsid w:val="009C088A"/>
    <w:rsid w:val="009C78E1"/>
    <w:rsid w:val="009F0B1C"/>
    <w:rsid w:val="009F2E6F"/>
    <w:rsid w:val="009F3859"/>
    <w:rsid w:val="009F4814"/>
    <w:rsid w:val="00A05067"/>
    <w:rsid w:val="00A31467"/>
    <w:rsid w:val="00A32040"/>
    <w:rsid w:val="00A32689"/>
    <w:rsid w:val="00A32886"/>
    <w:rsid w:val="00A33A44"/>
    <w:rsid w:val="00A35C22"/>
    <w:rsid w:val="00A43353"/>
    <w:rsid w:val="00A5583C"/>
    <w:rsid w:val="00A63045"/>
    <w:rsid w:val="00A72F13"/>
    <w:rsid w:val="00A7720E"/>
    <w:rsid w:val="00A777BA"/>
    <w:rsid w:val="00A81698"/>
    <w:rsid w:val="00A94A49"/>
    <w:rsid w:val="00A97E3A"/>
    <w:rsid w:val="00AA3499"/>
    <w:rsid w:val="00AB043C"/>
    <w:rsid w:val="00AB3FC9"/>
    <w:rsid w:val="00AB6053"/>
    <w:rsid w:val="00AE345C"/>
    <w:rsid w:val="00AE59E7"/>
    <w:rsid w:val="00AF0113"/>
    <w:rsid w:val="00AF018E"/>
    <w:rsid w:val="00AF18AA"/>
    <w:rsid w:val="00AF6749"/>
    <w:rsid w:val="00B00755"/>
    <w:rsid w:val="00B234C2"/>
    <w:rsid w:val="00B340D4"/>
    <w:rsid w:val="00B351B0"/>
    <w:rsid w:val="00B41967"/>
    <w:rsid w:val="00B42D69"/>
    <w:rsid w:val="00B4423A"/>
    <w:rsid w:val="00B50927"/>
    <w:rsid w:val="00B57320"/>
    <w:rsid w:val="00B62033"/>
    <w:rsid w:val="00B638DF"/>
    <w:rsid w:val="00B70747"/>
    <w:rsid w:val="00B86D6E"/>
    <w:rsid w:val="00B93074"/>
    <w:rsid w:val="00B961EF"/>
    <w:rsid w:val="00B97B8F"/>
    <w:rsid w:val="00BB2895"/>
    <w:rsid w:val="00BB48F5"/>
    <w:rsid w:val="00BC6C32"/>
    <w:rsid w:val="00BD6C9E"/>
    <w:rsid w:val="00BD70A8"/>
    <w:rsid w:val="00BD7828"/>
    <w:rsid w:val="00BF6276"/>
    <w:rsid w:val="00C00405"/>
    <w:rsid w:val="00C11B1B"/>
    <w:rsid w:val="00C12924"/>
    <w:rsid w:val="00C152AD"/>
    <w:rsid w:val="00C22A3D"/>
    <w:rsid w:val="00C232D5"/>
    <w:rsid w:val="00C24098"/>
    <w:rsid w:val="00C251FB"/>
    <w:rsid w:val="00C32E3C"/>
    <w:rsid w:val="00C55FE0"/>
    <w:rsid w:val="00C60E00"/>
    <w:rsid w:val="00C660D1"/>
    <w:rsid w:val="00C72476"/>
    <w:rsid w:val="00C91C8E"/>
    <w:rsid w:val="00C97E69"/>
    <w:rsid w:val="00CA3BEE"/>
    <w:rsid w:val="00CA7606"/>
    <w:rsid w:val="00CB3498"/>
    <w:rsid w:val="00CB4716"/>
    <w:rsid w:val="00CB5BD2"/>
    <w:rsid w:val="00CC176C"/>
    <w:rsid w:val="00CC1C44"/>
    <w:rsid w:val="00CC3A9B"/>
    <w:rsid w:val="00CC4CAC"/>
    <w:rsid w:val="00CC7673"/>
    <w:rsid w:val="00CD0220"/>
    <w:rsid w:val="00CD2E72"/>
    <w:rsid w:val="00CD5C45"/>
    <w:rsid w:val="00CF76B5"/>
    <w:rsid w:val="00CF77A9"/>
    <w:rsid w:val="00D06EB3"/>
    <w:rsid w:val="00D11559"/>
    <w:rsid w:val="00D13018"/>
    <w:rsid w:val="00D204AF"/>
    <w:rsid w:val="00D27EF2"/>
    <w:rsid w:val="00D3554D"/>
    <w:rsid w:val="00D453D1"/>
    <w:rsid w:val="00D5259A"/>
    <w:rsid w:val="00D57D51"/>
    <w:rsid w:val="00D721C3"/>
    <w:rsid w:val="00D72584"/>
    <w:rsid w:val="00D837FE"/>
    <w:rsid w:val="00DA264D"/>
    <w:rsid w:val="00DB015B"/>
    <w:rsid w:val="00DC24A7"/>
    <w:rsid w:val="00DD030F"/>
    <w:rsid w:val="00DE3E8D"/>
    <w:rsid w:val="00DF2881"/>
    <w:rsid w:val="00DF465B"/>
    <w:rsid w:val="00E00588"/>
    <w:rsid w:val="00E01D9F"/>
    <w:rsid w:val="00E06275"/>
    <w:rsid w:val="00E0655D"/>
    <w:rsid w:val="00E13EB0"/>
    <w:rsid w:val="00E15330"/>
    <w:rsid w:val="00E157D9"/>
    <w:rsid w:val="00E23659"/>
    <w:rsid w:val="00E25A3F"/>
    <w:rsid w:val="00E33ED0"/>
    <w:rsid w:val="00E341FC"/>
    <w:rsid w:val="00E343FB"/>
    <w:rsid w:val="00E4236F"/>
    <w:rsid w:val="00E42799"/>
    <w:rsid w:val="00E44502"/>
    <w:rsid w:val="00E51722"/>
    <w:rsid w:val="00E575DA"/>
    <w:rsid w:val="00E575F9"/>
    <w:rsid w:val="00E57967"/>
    <w:rsid w:val="00E60976"/>
    <w:rsid w:val="00E65C45"/>
    <w:rsid w:val="00E66B5F"/>
    <w:rsid w:val="00E71D85"/>
    <w:rsid w:val="00E77A26"/>
    <w:rsid w:val="00E92F4C"/>
    <w:rsid w:val="00E97E88"/>
    <w:rsid w:val="00EA59B1"/>
    <w:rsid w:val="00EE350F"/>
    <w:rsid w:val="00EE4289"/>
    <w:rsid w:val="00EE6577"/>
    <w:rsid w:val="00EF4962"/>
    <w:rsid w:val="00F02EE8"/>
    <w:rsid w:val="00F109F6"/>
    <w:rsid w:val="00F1613F"/>
    <w:rsid w:val="00F31539"/>
    <w:rsid w:val="00F31F0A"/>
    <w:rsid w:val="00F379A6"/>
    <w:rsid w:val="00F40170"/>
    <w:rsid w:val="00F62C12"/>
    <w:rsid w:val="00F7067E"/>
    <w:rsid w:val="00F7119C"/>
    <w:rsid w:val="00F7365B"/>
    <w:rsid w:val="00F803F9"/>
    <w:rsid w:val="00F851BF"/>
    <w:rsid w:val="00F90C71"/>
    <w:rsid w:val="00F91DAA"/>
    <w:rsid w:val="00FA1864"/>
    <w:rsid w:val="00FB05B7"/>
    <w:rsid w:val="00FC67DA"/>
    <w:rsid w:val="00FD234C"/>
    <w:rsid w:val="00FD430F"/>
    <w:rsid w:val="00FE33BF"/>
    <w:rsid w:val="00FE61B3"/>
    <w:rsid w:val="00FE72E2"/>
    <w:rsid w:val="00FF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BF5E"/>
  <w15:chartTrackingRefBased/>
  <w15:docId w15:val="{15CCCF69-30A8-448A-AE42-0E7DC629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F13"/>
  </w:style>
  <w:style w:type="paragraph" w:styleId="1">
    <w:name w:val="heading 1"/>
    <w:basedOn w:val="a"/>
    <w:next w:val="a"/>
    <w:link w:val="10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C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C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C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C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CF4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A72F13"/>
    <w:pPr>
      <w:spacing w:after="100"/>
    </w:pPr>
  </w:style>
  <w:style w:type="character" w:styleId="ac">
    <w:name w:val="Hyperlink"/>
    <w:basedOn w:val="a0"/>
    <w:uiPriority w:val="99"/>
    <w:unhideWhenUsed/>
    <w:rsid w:val="00A72F13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72F1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7.wmf"/><Relationship Id="rId18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image" Target="media/image2.wmf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5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3.wmf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8.emf"/><Relationship Id="rId22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68529-D9DC-4E24-BD01-B81F89925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15</Pages>
  <Words>2185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Bread Mrs</cp:lastModifiedBy>
  <cp:revision>458</cp:revision>
  <dcterms:created xsi:type="dcterms:W3CDTF">2026-02-23T10:36:00Z</dcterms:created>
  <dcterms:modified xsi:type="dcterms:W3CDTF">2026-03-24T22:28:00Z</dcterms:modified>
</cp:coreProperties>
</file>