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9B2C2C"/>
          <w:spacing w:val="8"/>
          <w:sz w:val="16"/>
          <w:szCs w:val="16"/>
        </w:rPr>
        <w:t xml:space="preserve">ELSINORE MIDDLE SCHOOL · MEETINGS 5–8 · CLARIFYING ESSENTIAL LEARNING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Essential Learning Map</w:t>
      </w:r>
    </w:p>
    <w:p>
      <w:pPr>
        <w:pBdr>
          <w:bottom w:val="single" w:color="9B2C2C" w:sz="14" w:space="6"/>
        </w:pBdr>
        <w:spacing w:after="12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One form, four steps — one per meeting. Built across Meetings 5–8 and completed at Meeting 8.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Use the linked Solution Tree tools to do the thinking; record the results here. A completed map is the end product your team should have at the end of Meeting 8.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59"/>
        <w:gridCol w:w="7301"/>
      </w:tblGrid>
      <w:tr>
        <w:trPr>
          <w:cantSplit/>
        </w:trPr>
        <w:tc>
          <w:tcPr>
            <w:tcW w:type="dxa" w:w="2059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Team</w:t>
            </w:r>
          </w:p>
        </w:tc>
        <w:tc>
          <w:tcPr>
            <w:tcW w:type="dxa" w:w="730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59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Course / grade</w:t>
            </w:r>
          </w:p>
        </w:tc>
        <w:tc>
          <w:tcPr>
            <w:tcW w:type="dxa" w:w="730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59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Cycle / dates</w:t>
            </w:r>
          </w:p>
        </w:tc>
        <w:tc>
          <w:tcPr>
            <w:tcW w:type="dxa" w:w="730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Step 1 · Identify the essential standard (Meeting 5)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Think with: </w:t>
      </w:r>
      <w:hyperlink w:history="1" r:id="rIdbujk2svqkjp27topmed9y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Using REAL to Identify Essential Standards</w:t>
        </w:r>
      </w:hyperlink>
      <w:r>
        <w:rPr>
          <w:rFonts w:ascii="Calibri" w:cs="Calibri" w:eastAsia="Calibri" w:hAnsi="Calibri"/>
          <w:color w:val="1F2933"/>
          <w:sz w:val="22"/>
          <w:szCs w:val="22"/>
        </w:rPr>
        <w:t xml:space="preserve"> (Solution Tree).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808"/>
        <w:gridCol w:w="6552"/>
      </w:tblGrid>
      <w:tr>
        <w:trPr>
          <w:cantSplit/>
          <w:trHeight w:val="1080" w:hRule="atLeast"/>
        </w:trPr>
        <w:tc>
          <w:tcPr>
            <w:tcW w:type="dxa" w:w="2808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Essential standard (full text)</w:t>
            </w:r>
          </w:p>
        </w:tc>
        <w:tc>
          <w:tcPr>
            <w:tcW w:type="dxa" w:w="6552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1080" w:hRule="atLeast"/>
        </w:trPr>
        <w:tc>
          <w:tcPr>
            <w:tcW w:type="dxa" w:w="2808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What students must know &amp; be able to do</w:t>
            </w:r>
          </w:p>
        </w:tc>
        <w:tc>
          <w:tcPr>
            <w:tcW w:type="dxa" w:w="6552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1080" w:hRule="atLeast"/>
        </w:trPr>
        <w:tc>
          <w:tcPr>
            <w:tcW w:type="dxa" w:w="2808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Academic vocabulary</w:t>
            </w:r>
          </w:p>
        </w:tc>
        <w:tc>
          <w:tcPr>
            <w:tcW w:type="dxa" w:w="6552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Step 2 · Deconstruct into learning targets (Meeting 6)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Think with: </w:t>
      </w:r>
      <w:hyperlink w:history="1" r:id="rIdngck4cnpws5o0kid9rsf0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Deconstructing an Essential Standard</w:t>
        </w:r>
      </w:hyperlink>
      <w:r>
        <w:rPr>
          <w:rFonts w:ascii="Calibri" w:cs="Calibri" w:eastAsia="Calibri" w:hAnsi="Calibri"/>
          <w:color w:val="1F2933"/>
          <w:sz w:val="22"/>
          <w:szCs w:val="22"/>
        </w:rPr>
        <w:t xml:space="preserve"> (Solution Tree). Write each target as a student-friendly “I can…” statement; mark its type — Knowledge, Reasoning, Skill, or Product.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749"/>
        <w:gridCol w:w="5990"/>
        <w:gridCol w:w="2621"/>
      </w:tblGrid>
      <w:tr>
        <w:trPr>
          <w:tblHeader/>
        </w:trPr>
        <w:tc>
          <w:tcPr>
            <w:tcW w:type="dxa" w:w="749"/>
            <w:shd w:fill="9B2C2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990"/>
            <w:shd w:fill="9B2C2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Learning target — “I can…” statement</w:t>
            </w:r>
          </w:p>
        </w:tc>
        <w:tc>
          <w:tcPr>
            <w:tcW w:type="dxa" w:w="2621"/>
            <w:shd w:fill="9B2C2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(K / R / S / P)</w:t>
            </w:r>
          </w:p>
        </w:tc>
      </w:tr>
      <w:tr>
        <w:trPr>
          <w:cantSplit/>
          <w:trHeight w:val="1080" w:hRule="atLeast"/>
        </w:trPr>
        <w:tc>
          <w:tcPr>
            <w:tcW w:type="dxa" w:w="749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599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I can…</w:t>
            </w:r>
          </w:p>
        </w:tc>
        <w:tc>
          <w:tcPr>
            <w:tcW w:type="dxa" w:w="262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1080" w:hRule="atLeast"/>
        </w:trPr>
        <w:tc>
          <w:tcPr>
            <w:tcW w:type="dxa" w:w="749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599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I can…</w:t>
            </w:r>
          </w:p>
        </w:tc>
        <w:tc>
          <w:tcPr>
            <w:tcW w:type="dxa" w:w="262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1080" w:hRule="atLeast"/>
        </w:trPr>
        <w:tc>
          <w:tcPr>
            <w:tcW w:type="dxa" w:w="749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599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I can…</w:t>
            </w:r>
          </w:p>
        </w:tc>
        <w:tc>
          <w:tcPr>
            <w:tcW w:type="dxa" w:w="262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1080" w:hRule="atLeast"/>
        </w:trPr>
        <w:tc>
          <w:tcPr>
            <w:tcW w:type="dxa" w:w="749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599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I can…</w:t>
            </w:r>
          </w:p>
        </w:tc>
        <w:tc>
          <w:tcPr>
            <w:tcW w:type="dxa" w:w="262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Step 3 · Define success criteria (Meeting 7)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Think with: </w:t>
      </w:r>
      <w:hyperlink w:history="1" r:id="rIdovi76xt0uctxgjzannpj1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Gaining Shared Clarity</w:t>
        </w:r>
      </w:hyperlink>
      <w:r>
        <w:rPr>
          <w:rFonts w:ascii="Calibri" w:cs="Calibri" w:eastAsia="Calibri" w:hAnsi="Calibri"/>
          <w:color w:val="1F2933"/>
          <w:sz w:val="22"/>
          <w:szCs w:val="22"/>
        </w:rPr>
        <w:t xml:space="preserve">, </w:t>
      </w:r>
      <w:hyperlink w:history="1" r:id="rIdysp98qnz5uej_jtuqqsdk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Developing a Success Checklist</w:t>
        </w:r>
      </w:hyperlink>
      <w:r>
        <w:rPr>
          <w:rFonts w:ascii="Calibri" w:cs="Calibri" w:eastAsia="Calibri" w:hAnsi="Calibri"/>
          <w:color w:val="1F2933"/>
          <w:sz w:val="22"/>
          <w:szCs w:val="22"/>
        </w:rPr>
        <w:t xml:space="preserve"> (Solution Tree). Choose a priority target and describe what proficient includes.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621"/>
        <w:gridCol w:w="6739"/>
      </w:tblGrid>
      <w:tr>
        <w:trPr>
          <w:cantSplit/>
          <w:trHeight w:val="1080" w:hRule="atLeast"/>
        </w:trPr>
        <w:tc>
          <w:tcPr>
            <w:tcW w:type="dxa" w:w="2621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Priority learning target</w:t>
            </w:r>
          </w:p>
        </w:tc>
        <w:tc>
          <w:tcPr>
            <w:tcW w:type="dxa" w:w="6739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1080" w:hRule="atLeast"/>
        </w:trPr>
        <w:tc>
          <w:tcPr>
            <w:tcW w:type="dxa" w:w="2621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Success criteria — what proficient includes</w:t>
            </w:r>
          </w:p>
        </w:tc>
        <w:tc>
          <w:tcPr>
            <w:tcW w:type="dxa" w:w="6739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Step 4 · Anchor proficiency (Meeting 8)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Think with: </w:t>
      </w:r>
      <w:hyperlink w:history="1" r:id="rIddbuwz48emsadxs5lzw1tb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Proficiency Anchors think sheet</w:t>
        </w:r>
      </w:hyperlink>
      <w:r>
        <w:rPr>
          <w:rFonts w:ascii="Calibri" w:cs="Calibri" w:eastAsia="Calibri" w:hAnsi="Calibri"/>
          <w:color w:val="1F2933"/>
          <w:sz w:val="22"/>
          <w:szCs w:val="22"/>
        </w:rPr>
        <w:t xml:space="preserve"> (EMS).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Write anchors together: each teacher drafts a proficient and a not-yet example for the priority target; compare them, name where you disagree, and record what the team agrees on. This is proficiency calibration — the real scoring calibration comes later, after students take the common assessment.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621"/>
        <w:gridCol w:w="6739"/>
      </w:tblGrid>
      <w:tr>
        <w:trPr>
          <w:cantSplit/>
          <w:trHeight w:val="1080" w:hRule="atLeast"/>
        </w:trPr>
        <w:tc>
          <w:tcPr>
            <w:tcW w:type="dxa" w:w="2621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Proficient anchor — what a proficient response looks like</w:t>
            </w:r>
          </w:p>
        </w:tc>
        <w:tc>
          <w:tcPr>
            <w:tcW w:type="dxa" w:w="6739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1080" w:hRule="atLeast"/>
        </w:trPr>
        <w:tc>
          <w:tcPr>
            <w:tcW w:type="dxa" w:w="2621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Not-yet anchor — what a not-yet response looks like</w:t>
            </w:r>
          </w:p>
        </w:tc>
        <w:tc>
          <w:tcPr>
            <w:tcW w:type="dxa" w:w="6739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1080" w:hRule="atLeast"/>
        </w:trPr>
        <w:tc>
          <w:tcPr>
            <w:tcW w:type="dxa" w:w="2621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Where we disagreed / how we resolved it</w:t>
            </w:r>
          </w:p>
        </w:tc>
        <w:tc>
          <w:tcPr>
            <w:tcW w:type="dxa" w:w="6739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Completion check — end of Meeting 8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4"/>
          <w:szCs w:val="24"/>
        </w:rPr>
        <w:t xml:space="preserve">☐  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Step 1 — Essential standard selected and recorded (Meeting 5)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4"/>
          <w:szCs w:val="24"/>
        </w:rPr>
        <w:t xml:space="preserve">☐  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Step 2 — Learning targets written as “I can…” statements (Meeting 6)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4"/>
          <w:szCs w:val="24"/>
        </w:rPr>
        <w:t xml:space="preserve">☐  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Step 3 — Success criteria written for the targets (Meeting 7)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4"/>
          <w:szCs w:val="24"/>
        </w:rPr>
        <w:t xml:space="preserve">☐  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Step 4 — Proficiency anchored: proficient and not-yet examples agreed (Meeting 8)</w:t>
      </w:r>
    </w:p>
    <w:p>
      <w:pPr>
        <w:shd w:fill="F7ECEC" w:color="auto" w:val="clear"/>
        <w:spacing w:after="120" w:before="12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When all four steps are checked, this map is your team's end product for Clarifying Essential Learning. The real scoring calibration comes later, after students take the common assessment — you'll calibrate against the proficiency you recorded here.</w:t>
      </w:r>
    </w:p>
    <w:p>
      <w:pPr>
        <w:pBdr>
          <w:top w:val="single" w:color="E5E7EB" w:sz="4" w:space="6"/>
        </w:pBdr>
        <w:spacing w:before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EMS PLT Playbook · EMS-created editable template · 2026–27 · Essential Learning Map.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bujk2svqkjp27topmed9y" Type="http://schemas.openxmlformats.org/officeDocument/2006/relationships/hyperlink" Target="https://cloudfront-s3.solutiontree.com/pdfs/Reproducibles_HHET/toolusingrealtoidentifyessentialstandards.pdf" TargetMode="External"/><Relationship Id="rIdngck4cnpws5o0kid9rsf0" Type="http://schemas.openxmlformats.org/officeDocument/2006/relationships/hyperlink" Target="https://cloudfront-s3.solutiontree.com/pdfs/Reproducibles_HHET/tooldeconstructinganessentialstandard.pdf" TargetMode="External"/><Relationship Id="rIdovi76xt0uctxgjzannpj1" Type="http://schemas.openxmlformats.org/officeDocument/2006/relationships/hyperlink" Target="https://cloudfront-s3.solutiontree.com/pdfs/Reproducibles_HHET/toolgainingsharedclarity.pdf" TargetMode="External"/><Relationship Id="rIdysp98qnz5uej_jtuqqsdk" Type="http://schemas.openxmlformats.org/officeDocument/2006/relationships/hyperlink" Target="https://cloudfront-s3.solutiontree.com/pdfs/Reproducibles_HHET/tooldevelopingasuccesschecklistforalearningintention.pdf" TargetMode="External"/><Relationship Id="rIddbuwz48emsadxs5lzw1tb" Type="http://schemas.openxmlformats.org/officeDocument/2006/relationships/hyperlink" Target="https://emsplc.mrswebber.com/templates/ems-proficiency-anchors.pdf" TargetMode="External"/><Relationship Id="rId7" Type="http://schemas.openxmlformats.org/officeDocument/2006/relationships/image" Target="media/499b42b83e4322fd1fa5b08918f52bc312df9639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2026-10-04T05:55:43.769Z</dcterms:created>
  <dcterms:modified xsi:type="dcterms:W3CDTF">2026-10-04T05:55:43.775Z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