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drawing>
          <wp:inline distT="0" distB="0" distL="0" distR="0">
            <wp:extent cx="59055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9B2C2C"/>
          <w:sz w:val="16"/>
          <w:szCs w:val="16"/>
        </w:rPr>
        <w:t xml:space="preserve">EMS PROFESSIONAL LEARNING TEAMS · TEAM NORMS WORKSHEET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2933"/>
          <w:sz w:val="34"/>
          <w:szCs w:val="34"/>
        </w:rPr>
        <w:t xml:space="preserve">Holding Each Other Accountable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How to hold each other to your norms — and have the conversation when one gets broken</w:t>
      </w:r>
    </w:p>
    <w:p>
      <w:pPr>
        <w:spacing w:after="100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Norms only matter if the team keeps them, and eventually someone will slip — that's normal. What makes the difference is deciding in advance how you'll respond and having the words ready, so an awkward moment becomes a routine one. Work through this together before you need it.</w:t>
      </w:r>
    </w:p>
    <w:p>
      <w:pPr>
        <w:spacing w:after="110" w:before="240"/>
      </w:pPr>
      <w:r>
        <w:rPr>
          <w:rFonts w:ascii="Calibri" w:cs="Calibri" w:eastAsia="Calibri" w:hAnsi="Calibri"/>
          <w:b/>
          <w:bCs/>
          <w:color w:val="9B2C2C"/>
          <w:sz w:val="25"/>
          <w:szCs w:val="25"/>
        </w:rPr>
        <w:t xml:space="preserve">1 · Agree on the protocol first (before anyone breaks a norm)</w:t>
      </w:r>
    </w:p>
    <w:p>
      <w:pPr>
        <w:spacing w:after="90"/>
      </w:pPr>
      <w:r>
        <w:rPr>
          <w:rFonts w:ascii="Calibri" w:cs="Calibri" w:eastAsia="Calibri" w:hAnsi="Calibri"/>
          <w:color w:val="9B2C2C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Give permission — 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We all agree out loud that it's okay to be reminded — including me.</w:t>
      </w:r>
    </w:p>
    <w:p>
      <w:pPr>
        <w:spacing w:after="90"/>
      </w:pPr>
      <w:r>
        <w:rPr>
          <w:rFonts w:ascii="Calibri" w:cs="Calibri" w:eastAsia="Calibri" w:hAnsi="Calibri"/>
          <w:color w:val="9B2C2C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Pick an in-the-moment signal — 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Choose one low-key cue anyone can use — point to the posted norms, or say “let's check our norms.”</w:t>
      </w:r>
    </w:p>
    <w:p>
      <w:pPr>
        <w:spacing w:after="90"/>
      </w:pPr>
      <w:r>
        <w:rPr>
          <w:rFonts w:ascii="Calibri" w:cs="Calibri" w:eastAsia="Calibri" w:hAnsi="Calibri"/>
          <w:color w:val="9B2C2C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Decide who addresses it — 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The facilitator names it first in the meeting. If a pattern continues, it becomes a quiet peer-to-peer conversation.</w:t>
      </w:r>
    </w:p>
    <w:p>
      <w:pPr>
        <w:spacing w:after="90"/>
      </w:pPr>
      <w:r>
        <w:rPr>
          <w:rFonts w:ascii="Calibri" w:cs="Calibri" w:eastAsia="Calibri" w:hAnsi="Calibri"/>
          <w:color w:val="9B2C2C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Keep it two-way — 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Everyone can give a reminder and everyone can receive one — no exceptions for seniority or role.</w:t>
      </w:r>
    </w:p>
    <w:p>
      <w:pPr>
        <w:spacing w:after="110" w:before="240"/>
      </w:pPr>
      <w:r>
        <w:rPr>
          <w:rFonts w:ascii="Calibri" w:cs="Calibri" w:eastAsia="Calibri" w:hAnsi="Calibri"/>
          <w:b/>
          <w:bCs/>
          <w:color w:val="9B2C2C"/>
          <w:sz w:val="25"/>
          <w:szCs w:val="25"/>
        </w:rPr>
        <w:t xml:space="preserve">2 · The response ladder — start small</w:t>
      </w:r>
    </w:p>
    <w:p>
      <w:pPr>
        <w:spacing w:after="100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Match your response to the situation. Most slips never need more than the first rung.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6160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to respond</w:t>
            </w:r>
          </w:p>
        </w:tc>
      </w:tr>
      <w:tr>
        <w:tc>
          <w:tcPr>
            <w:tcW w:type="dxa" w:w="3200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0"/>
                <w:szCs w:val="20"/>
              </w:rPr>
              <w:t xml:space="preserve">A one-time slip, in the moment</w:t>
            </w:r>
          </w:p>
        </w:tc>
        <w:tc>
          <w:tcPr>
            <w:tcW w:type="dxa" w:w="6160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A light group cue — “Let's get back to our norm on ___.” No one is singled out.</w:t>
            </w:r>
          </w:p>
        </w:tc>
      </w:tr>
      <w:tr>
        <w:tc>
          <w:tcPr>
            <w:tcW w:type="dxa" w:w="3200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0"/>
                <w:szCs w:val="20"/>
              </w:rPr>
              <w:t xml:space="preserve">It happens again</w:t>
            </w:r>
          </w:p>
        </w:tc>
        <w:tc>
          <w:tcPr>
            <w:tcW w:type="dxa" w:w="6160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A quiet one-on-one after the meeting — never in front of the team.</w:t>
            </w:r>
          </w:p>
        </w:tc>
      </w:tr>
      <w:tr>
        <w:tc>
          <w:tcPr>
            <w:tcW w:type="dxa" w:w="3200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0"/>
                <w:szCs w:val="20"/>
              </w:rPr>
              <w:t xml:space="preserve">A pattern that isn't changing</w:t>
            </w:r>
          </w:p>
        </w:tc>
        <w:tc>
          <w:tcPr>
            <w:tcW w:type="dxa" w:w="6160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A structured conversation (below), ending in a specific next step you both agree to.</w:t>
            </w:r>
          </w:p>
        </w:tc>
      </w:tr>
    </w:tbl>
    <w:p>
      <w:pPr>
        <w:spacing w:after="110" w:before="240"/>
      </w:pPr>
      <w:r>
        <w:rPr>
          <w:rFonts w:ascii="Calibri" w:cs="Calibri" w:eastAsia="Calibri" w:hAnsi="Calibri"/>
          <w:b/>
          <w:bCs/>
          <w:color w:val="9B2C2C"/>
          <w:sz w:val="25"/>
          <w:szCs w:val="25"/>
        </w:rPr>
        <w:t xml:space="preserve">3 · The conversation — five moves</w:t>
      </w:r>
    </w:p>
    <w:p>
      <w:pPr>
        <w:spacing w:after="100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When it's time for a real conversation, keep it short and follow the order. Fill in the blanks for your situation.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7A2626"/>
          <w:sz w:val="20"/>
          <w:szCs w:val="20"/>
        </w:rPr>
        <w:t xml:space="preserve">1. 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Open gently, ask permission</w:t>
      </w:r>
    </w:p>
    <w:p>
      <w:pPr>
        <w:spacing w:after="90"/>
        <w:ind w:left="300"/>
      </w:pPr>
      <w:r>
        <w:rPr>
          <w:rFonts w:ascii="Calibri" w:cs="Calibri" w:eastAsia="Calibri" w:hAnsi="Calibri"/>
          <w:i/>
          <w:iCs/>
          <w:color w:val="7A2626"/>
          <w:sz w:val="20"/>
          <w:szCs w:val="20"/>
        </w:rPr>
        <w:t xml:space="preserve">“Can I check something with you? I want us to stay a strong team.”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7A2626"/>
          <w:sz w:val="20"/>
          <w:szCs w:val="20"/>
        </w:rPr>
        <w:t xml:space="preserve">2. 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Name the norm you agreed to</w:t>
      </w:r>
    </w:p>
    <w:p>
      <w:pPr>
        <w:spacing w:after="90"/>
        <w:ind w:left="300"/>
      </w:pPr>
      <w:r>
        <w:rPr>
          <w:rFonts w:ascii="Calibri" w:cs="Calibri" w:eastAsia="Calibri" w:hAnsi="Calibri"/>
          <w:i/>
          <w:iCs/>
          <w:color w:val="7A2626"/>
          <w:sz w:val="20"/>
          <w:szCs w:val="20"/>
        </w:rPr>
        <w:t xml:space="preserve">“We agreed we'd ______.”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7A2626"/>
          <w:sz w:val="20"/>
          <w:szCs w:val="20"/>
        </w:rPr>
        <w:t xml:space="preserve">3. 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Describe what you saw — behavior, not character</w:t>
      </w:r>
    </w:p>
    <w:p>
      <w:pPr>
        <w:spacing w:after="90"/>
        <w:ind w:left="300"/>
      </w:pPr>
      <w:r>
        <w:rPr>
          <w:rFonts w:ascii="Calibri" w:cs="Calibri" w:eastAsia="Calibri" w:hAnsi="Calibri"/>
          <w:i/>
          <w:iCs/>
          <w:color w:val="7A2626"/>
          <w:sz w:val="20"/>
          <w:szCs w:val="20"/>
        </w:rPr>
        <w:t xml:space="preserve">“In the last few meetings, I've noticed ______.”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7A2626"/>
          <w:sz w:val="20"/>
          <w:szCs w:val="20"/>
        </w:rPr>
        <w:t xml:space="preserve">4. 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Share the impact</w:t>
      </w:r>
    </w:p>
    <w:p>
      <w:pPr>
        <w:spacing w:after="90"/>
        <w:ind w:left="300"/>
      </w:pPr>
      <w:r>
        <w:rPr>
          <w:rFonts w:ascii="Calibri" w:cs="Calibri" w:eastAsia="Calibri" w:hAnsi="Calibri"/>
          <w:i/>
          <w:iCs/>
          <w:color w:val="7A2626"/>
          <w:sz w:val="20"/>
          <w:szCs w:val="20"/>
        </w:rPr>
        <w:t xml:space="preserve">“When that happens, ______ (the effect on the team or our students).”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7A2626"/>
          <w:sz w:val="20"/>
          <w:szCs w:val="20"/>
        </w:rPr>
        <w:t xml:space="preserve">5. 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Ask, and open the dialogue</w:t>
      </w:r>
    </w:p>
    <w:p>
      <w:pPr>
        <w:spacing w:after="90"/>
        <w:ind w:left="300"/>
      </w:pPr>
      <w:r>
        <w:rPr>
          <w:rFonts w:ascii="Calibri" w:cs="Calibri" w:eastAsia="Calibri" w:hAnsi="Calibri"/>
          <w:i/>
          <w:iCs/>
          <w:color w:val="7A2626"/>
          <w:sz w:val="20"/>
          <w:szCs w:val="20"/>
        </w:rPr>
        <w:t xml:space="preserve">“Can we ______? What would help? Is there something I'm missing?”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Then agree on one specific next step — and thank them for hearing you.</w:t>
      </w:r>
    </w:p>
    <w:p>
      <w:pPr>
        <w:spacing w:after="110" w:before="240"/>
      </w:pPr>
      <w:r>
        <w:rPr>
          <w:rFonts w:ascii="Calibri" w:cs="Calibri" w:eastAsia="Calibri" w:hAnsi="Calibri"/>
          <w:b/>
          <w:bCs/>
          <w:color w:val="9B2C2C"/>
          <w:sz w:val="25"/>
          <w:szCs w:val="25"/>
        </w:rPr>
        <w:t xml:space="preserve">4 · Stems for the hard moments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To open it:  </w:t>
      </w:r>
      <w:r>
        <w:rPr>
          <w:rFonts w:ascii="Calibri" w:cs="Calibri" w:eastAsia="Calibri" w:hAnsi="Calibri"/>
          <w:i/>
          <w:iCs/>
          <w:color w:val="4A5568"/>
          <w:sz w:val="20"/>
          <w:szCs w:val="20"/>
        </w:rPr>
        <w:t xml:space="preserve">“I might be off base, but I want to raise something…” · “Because I care about this team, I…”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If they get defensive:  </w:t>
      </w:r>
      <w:r>
        <w:rPr>
          <w:rFonts w:ascii="Calibri" w:cs="Calibri" w:eastAsia="Calibri" w:hAnsi="Calibri"/>
          <w:i/>
          <w:iCs/>
          <w:color w:val="4A5568"/>
          <w:sz w:val="20"/>
          <w:szCs w:val="20"/>
        </w:rPr>
        <w:t xml:space="preserve">“I'm not questioning your commitment — I'm naming a pattern I saw.” · “Help me understand what's going on.”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To stay on behavior:  </w:t>
      </w:r>
      <w:r>
        <w:rPr>
          <w:rFonts w:ascii="Calibri" w:cs="Calibri" w:eastAsia="Calibri" w:hAnsi="Calibri"/>
          <w:i/>
          <w:iCs/>
          <w:color w:val="4A5568"/>
          <w:sz w:val="20"/>
          <w:szCs w:val="20"/>
        </w:rPr>
        <w:t xml:space="preserve">“This isn't about who you are; it's about what we agreed to do.”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To close:  </w:t>
      </w:r>
      <w:r>
        <w:rPr>
          <w:rFonts w:ascii="Calibri" w:cs="Calibri" w:eastAsia="Calibri" w:hAnsi="Calibri"/>
          <w:i/>
          <w:iCs/>
          <w:color w:val="4A5568"/>
          <w:sz w:val="20"/>
          <w:szCs w:val="20"/>
        </w:rPr>
        <w:t xml:space="preserve">“Thanks for hearing me. Can we agree to ______?”</w:t>
      </w:r>
    </w:p>
    <w:p>
      <w:pPr>
        <w:spacing w:after="110" w:before="240"/>
      </w:pPr>
      <w:r>
        <w:rPr>
          <w:rFonts w:ascii="Calibri" w:cs="Calibri" w:eastAsia="Calibri" w:hAnsi="Calibri"/>
          <w:b/>
          <w:bCs/>
          <w:color w:val="9B2C2C"/>
          <w:sz w:val="25"/>
          <w:szCs w:val="25"/>
        </w:rPr>
        <w:t xml:space="preserve">5 · Guardrails</w:t>
      </w:r>
    </w:p>
    <w:p>
      <w:pPr>
        <w:spacing w:after="90"/>
      </w:pPr>
      <w:r>
        <w:rPr>
          <w:rFonts w:ascii="Calibri" w:cs="Calibri" w:eastAsia="Calibri" w:hAnsi="Calibri"/>
          <w:color w:val="9B2C2C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Assume good intent — 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Start curious, not accusing — most slips aren't defiance.</w:t>
      </w:r>
    </w:p>
    <w:p>
      <w:pPr>
        <w:spacing w:after="90"/>
      </w:pPr>
      <w:r>
        <w:rPr>
          <w:rFonts w:ascii="Calibri" w:cs="Calibri" w:eastAsia="Calibri" w:hAnsi="Calibri"/>
          <w:color w:val="9B2C2C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Private, not public — 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Praise in the room; correct one-on-one.</w:t>
      </w:r>
    </w:p>
    <w:p>
      <w:pPr>
        <w:spacing w:after="90"/>
      </w:pPr>
      <w:r>
        <w:rPr>
          <w:rFonts w:ascii="Calibri" w:cs="Calibri" w:eastAsia="Calibri" w:hAnsi="Calibri"/>
          <w:color w:val="9B2C2C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Behavior, not the person — 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Name what was done, never who they are.</w:t>
      </w:r>
    </w:p>
    <w:p>
      <w:pPr>
        <w:spacing w:after="90"/>
      </w:pPr>
      <w:r>
        <w:rPr>
          <w:rFonts w:ascii="Calibri" w:cs="Calibri" w:eastAsia="Calibri" w:hAnsi="Calibri"/>
          <w:color w:val="9B2C2C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Timely, not saved up — 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Address it close to when it happens, before resentment builds.</w:t>
      </w:r>
    </w:p>
    <w:p>
      <w:pPr>
        <w:spacing w:after="90"/>
      </w:pPr>
      <w:r>
        <w:rPr>
          <w:rFonts w:ascii="Calibri" w:cs="Calibri" w:eastAsia="Calibri" w:hAnsi="Calibri"/>
          <w:color w:val="9B2C2C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color w:val="1F2933"/>
          <w:sz w:val="20"/>
          <w:szCs w:val="20"/>
        </w:rPr>
        <w:t xml:space="preserve">Two-way — </w:t>
      </w:r>
      <w:r>
        <w:rPr>
          <w:rFonts w:ascii="Calibri" w:cs="Calibri" w:eastAsia="Calibri" w:hAnsi="Calibri"/>
          <w:color w:val="1F2933"/>
          <w:sz w:val="20"/>
          <w:szCs w:val="20"/>
        </w:rPr>
        <w:t xml:space="preserve">You're open to the same reminder you're giving.</w:t>
      </w:r>
    </w:p>
    <w:p>
      <w:pPr>
        <w:spacing w:after="110" w:before="240"/>
      </w:pPr>
      <w:r>
        <w:rPr>
          <w:rFonts w:ascii="Calibri" w:cs="Calibri" w:eastAsia="Calibri" w:hAnsi="Calibri"/>
          <w:b/>
          <w:bCs/>
          <w:color w:val="9B2C2C"/>
          <w:sz w:val="25"/>
          <w:szCs w:val="25"/>
        </w:rPr>
        <w:t xml:space="preserve">6 · Practice it now (before it's real)</w:t>
      </w:r>
    </w:p>
    <w:p>
      <w:pPr>
        <w:spacing w:after="100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Role-play it as a team: pick a norm, have someone gently “break” it, and practice the five moves. It's far easier to do for real once you've rehearsed it once.</w:t>
      </w:r>
    </w:p>
    <w:p>
      <w:pPr>
        <w:pBdr>
          <w:bottom w:val="single" w:color="94A3B8" w:sz="4" w:space="6"/>
        </w:pBdr>
        <w:spacing w:after="120" w:before="120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A norm we'll practice the conversation with:  </w:t>
      </w:r>
    </w:p>
    <w:p>
      <w:pPr>
        <w:pBdr>
          <w:bottom w:val="single" w:color="94A3B8" w:sz="4" w:space="6"/>
        </w:pBdr>
        <w:spacing w:after="120" w:before="120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Our agreed in-the-moment signal:  </w:t>
      </w:r>
    </w:p>
    <w:p>
      <w:pPr>
        <w:pBdr>
          <w:bottom w:val="single" w:color="94A3B8" w:sz="4" w:space="6"/>
        </w:pBdr>
        <w:spacing w:after="120" w:before="120"/>
      </w:pPr>
      <w:r>
        <w:rPr>
          <w:rFonts w:ascii="Calibri" w:cs="Calibri" w:eastAsia="Calibri" w:hAnsi="Calibri"/>
          <w:color w:val="1F2933"/>
          <w:sz w:val="20"/>
          <w:szCs w:val="20"/>
        </w:rPr>
        <w:t xml:space="preserve">Who names it first in meetings:  </w:t>
      </w:r>
    </w:p>
    <w:p>
      <w:pPr>
        <w:pBdr>
          <w:top w:val="single" w:color="E2E2E2" w:sz="4" w:space="8"/>
        </w:pBdr>
        <w:spacing w:before="280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EMS Professional Learning Teams · 2026–27 · Original EMS worksheet. The conversation structure draws on widely used feedback and dialogue practices (e.g., Crucial Conversations, Patterson et al.).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9b42b83e4322fd1fa5b08918f52bc312df963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Holding Each Other Accountable</dc:title>
  <dc:creator>Elsinore Middle School PLT</dc:creator>
  <cp:lastModifiedBy>Un-named</cp:lastModifiedBy>
  <cp:revision>1</cp:revision>
  <dcterms:created xsi:type="dcterms:W3CDTF">2026-08-18T04:29:05.446Z</dcterms:created>
  <dcterms:modified xsi:type="dcterms:W3CDTF">2026-08-18T04:29:05.474Z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