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9B2C2C"/>
          <w:spacing w:val="8"/>
          <w:sz w:val="16"/>
          <w:szCs w:val="16"/>
        </w:rPr>
        <w:t xml:space="preserve">ELSINORE MIDDLE SCHOOL · MEETING 7 OF 18 · AGENDA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Defining Proficiency</w:t>
      </w:r>
    </w:p>
    <w:p>
      <w:pPr>
        <w:pBdr>
          <w:bottom w:val="single" w:color="9B2C2C" w:sz="14" w:space="6"/>
        </w:pBdr>
        <w:spacing w:after="12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Agreeing on what "learned it" means.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Why this meeting matters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If teachers do not agree on proficiency, common assessment results will not be meaningful. This meeting prevents teams from giving the same assessment but scoring it through different lenses.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01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7 · Wednesday, November 4, 2026 · 45 minutes</w:t>
            </w:r>
          </w:p>
        </w:tc>
      </w:tr>
      <w:tr>
        <w:trPr>
          <w:cantSplit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Focus</w:t>
            </w:r>
          </w:p>
        </w:tc>
        <w:tc>
          <w:tcPr>
            <w:tcW w:type="dxa" w:w="730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How good is good enough?</w:t>
            </w:r>
          </w:p>
        </w:tc>
      </w:tr>
      <w:tr>
        <w:trPr>
          <w:cantSplit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Leave with</w:t>
            </w:r>
          </w:p>
        </w:tc>
        <w:tc>
          <w:tcPr>
            <w:tcW w:type="dxa" w:w="730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Success criteria for the selected learning targets.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Agenda — step by step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cantSplit/>
        </w:trPr>
        <w:tc>
          <w:tcPr>
            <w:tcW w:type="dxa" w:w="140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0–5 min</w:t>
            </w:r>
          </w:p>
        </w:tc>
        <w:tc>
          <w:tcPr>
            <w:tcW w:type="dxa" w:w="795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Review norms and roles. Confirm who holds each role today and re-read your team norms together. Re-anchor on the learning targets you drafted.</w:t>
            </w:r>
          </w:p>
        </w:tc>
      </w:tr>
      <w:tr>
        <w:trPr>
          <w:cantSplit/>
        </w:trPr>
        <w:tc>
          <w:tcPr>
            <w:tcW w:type="dxa" w:w="140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5–15 min</w:t>
            </w:r>
          </w:p>
        </w:tc>
        <w:tc>
          <w:tcPr>
            <w:tcW w:type="dxa" w:w="795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Define "proficient". Discuss what proficient student work actually includes.</w:t>
            </w:r>
          </w:p>
        </w:tc>
      </w:tr>
      <w:tr>
        <w:trPr>
          <w:cantSplit/>
        </w:trPr>
        <w:tc>
          <w:tcPr>
            <w:tcW w:type="dxa" w:w="140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15–30 min</w:t>
            </w:r>
          </w:p>
        </w:tc>
        <w:tc>
          <w:tcPr>
            <w:tcW w:type="dxa" w:w="795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Write success criteria. Create clear criteria for each target.</w:t>
            </w:r>
          </w:p>
        </w:tc>
      </w:tr>
      <w:tr>
        <w:trPr>
          <w:cantSplit/>
        </w:trPr>
        <w:tc>
          <w:tcPr>
            <w:tcW w:type="dxa" w:w="140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30–40 min</w:t>
            </w:r>
          </w:p>
        </w:tc>
        <w:tc>
          <w:tcPr>
            <w:tcW w:type="dxa" w:w="795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Pressure-test the criteria. Sketch what a proficient response would look like, then check it against your success criteria — do they capture it? Adjust. The full anchor comparison comes at Meeting 8.</w:t>
            </w:r>
          </w:p>
        </w:tc>
      </w:tr>
      <w:tr>
        <w:trPr>
          <w:cantSplit/>
        </w:trPr>
        <w:tc>
          <w:tcPr>
            <w:tcW w:type="dxa" w:w="140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40–45 min</w:t>
            </w:r>
          </w:p>
        </w:tc>
        <w:tc>
          <w:tcPr>
            <w:tcW w:type="dxa" w:w="795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Finalize. Lock in the success criteria or note what still needs revision.</w:t>
            </w:r>
          </w:p>
        </w:tc>
      </w:tr>
    </w:tbl>
    <w:p>
      <w:pPr>
        <w:shd w:fill="F7ECEC" w:color="auto" w:val="clear"/>
        <w:spacing w:after="40" w:before="200"/>
      </w:pPr>
      <w:r>
        <w:rPr>
          <w:rFonts w:ascii="Calibri" w:cs="Calibri" w:eastAsia="Calibri" w:hAnsi="Calibri"/>
          <w:b/>
          <w:bCs/>
          <w:color w:val="9B2C2C"/>
          <w:sz w:val="22"/>
          <w:szCs w:val="22"/>
        </w:rPr>
        <w:t xml:space="preserve">Where we're going next → Meeting 8</w:t>
      </w:r>
    </w:p>
    <w:p>
      <w:pPr>
        <w:shd w:fill="F7ECEC" w:color="auto" w:val="clear"/>
        <w:spacing w:after="1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Calibration: Defining Proficiency Together — Building a shared picture of proficiency — before student work exists.</w:t>
      </w:r>
    </w:p>
    <w:p>
      <w:pPr>
        <w:pBdr>
          <w:top w:val="single" w:color="E5E7EB" w:sz="4" w:space="6"/>
        </w:pBdr>
        <w:spacing w:before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Elsinore Middle School Professional Learning Teams · 2026–27 · Meeting 7 agenda.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99b42b83e4322fd1fa5b08918f52bc312df9639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2026-10-04T04:43:57.518Z</dcterms:created>
  <dcterms:modified xsi:type="dcterms:W3CDTF">2026-10-04T04:43:57.519Z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