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 cy="438150"/>
                    </a:xfrm>
                    <a:prstGeom prst="rect">
                      <a:avLst/>
                    </a:prstGeom>
                  </pic:spPr>
                </pic:pic>
              </a:graphicData>
            </a:graphic>
          </wp:inline>
        </w:drawing>
      </w:r>
    </w:p>
    <w:p>
      <w:pPr>
        <w:spacing w:after="20"/>
      </w:pPr>
      <w:r>
        <w:rPr>
          <w:rFonts w:ascii="Calibri" w:cs="Calibri" w:eastAsia="Calibri" w:hAnsi="Calibri"/>
          <w:b/>
          <w:bCs/>
          <w:color w:val="9B2C2C"/>
          <w:spacing w:val="8"/>
          <w:sz w:val="16"/>
          <w:szCs w:val="16"/>
        </w:rPr>
        <w:t xml:space="preserve">ELSINORE MIDDLE SCHOOL · PLT ROADMAP</w:t>
      </w:r>
    </w:p>
    <w:p>
      <w:pPr>
        <w:spacing w:after="20"/>
      </w:pPr>
      <w:r>
        <w:rPr>
          <w:rFonts w:ascii="Calibri" w:cs="Calibri" w:eastAsia="Calibri" w:hAnsi="Calibri"/>
          <w:b/>
          <w:bCs/>
          <w:color w:val="1F2933"/>
          <w:sz w:val="40"/>
          <w:szCs w:val="40"/>
        </w:rPr>
        <w:t xml:space="preserve">Meetings 5–8: Clarifying Essential Learning</w:t>
      </w:r>
    </w:p>
    <w:p>
      <w:pPr>
        <w:pBdr>
          <w:bottom w:val="single" w:color="9B2C2C" w:sz="14" w:space="6"/>
        </w:pBdr>
        <w:spacing w:after="120"/>
      </w:pPr>
      <w:r>
        <w:rPr>
          <w:rFonts w:ascii="Calibri" w:cs="Calibri" w:eastAsia="Calibri" w:hAnsi="Calibri"/>
          <w:color w:val="64748B"/>
          <w:sz w:val="22"/>
          <w:szCs w:val="22"/>
        </w:rPr>
        <w:t xml:space="preserve">PLC Question 1 — What do we want students to learn? One journey in four steps.</w:t>
      </w:r>
    </w:p>
    <w:p>
      <w:pPr>
        <w:keepNext/>
        <w:spacing w:after="80" w:before="200"/>
      </w:pPr>
      <w:r>
        <w:rPr>
          <w:rFonts w:ascii="Calibri" w:cs="Calibri" w:eastAsia="Calibri" w:hAnsi="Calibri"/>
          <w:b/>
          <w:bCs/>
          <w:color w:val="9B2C2C"/>
          <w:sz w:val="25"/>
          <w:szCs w:val="25"/>
        </w:rPr>
        <w:t xml:space="preserve">The big picture</w:t>
      </w:r>
    </w:p>
    <w:p>
      <w:pPr>
        <w:spacing w:after="120"/>
      </w:pPr>
      <w:r>
        <w:rPr>
          <w:rFonts w:ascii="Calibri" w:cs="Calibri" w:eastAsia="Calibri" w:hAnsi="Calibri"/>
          <w:color w:val="1F2933"/>
          <w:sz w:val="22"/>
          <w:szCs w:val="22"/>
        </w:rPr>
        <w:t xml:space="preserve">These four meetings are one journey, not four separate tasks. You start from your course's standards and narrow to a shared, concrete picture of what students must learn and what proficiency looks like — so the common assessment you design next is built on one definition, not five.</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1404"/>
        <w:gridCol w:w="4212"/>
        <w:gridCol w:w="3744"/>
      </w:tblGrid>
      <w:tr>
        <w:trPr>
          <w:tblHeader/>
        </w:trPr>
        <w:tc>
          <w:tcPr>
            <w:tcW w:type="dxa" w:w="1404"/>
            <w:shd w:fill="9B2C2C" w:color="auto" w:val="clear"/>
            <w:tcMar>
              <w:top w:type="dxa" w:w="90"/>
              <w:left w:type="dxa" w:w="110"/>
              <w:bottom w:type="dxa" w:w="90"/>
              <w:right w:type="dxa" w:w="110"/>
            </w:tcMar>
          </w:tcPr>
          <w:p>
            <w:r>
              <w:rPr>
                <w:rFonts w:ascii="Calibri" w:cs="Calibri" w:eastAsia="Calibri" w:hAnsi="Calibri"/>
                <w:b/>
                <w:bCs/>
                <w:color w:val="FFFFFF"/>
                <w:sz w:val="20"/>
                <w:szCs w:val="20"/>
              </w:rPr>
              <w:t xml:space="preserve">Meeting</w:t>
            </w:r>
          </w:p>
        </w:tc>
        <w:tc>
          <w:tcPr>
            <w:tcW w:type="dxa" w:w="4212"/>
            <w:shd w:fill="9B2C2C" w:color="auto" w:val="clear"/>
            <w:tcMar>
              <w:top w:type="dxa" w:w="90"/>
              <w:left w:type="dxa" w:w="110"/>
              <w:bottom w:type="dxa" w:w="90"/>
              <w:right w:type="dxa" w:w="110"/>
            </w:tcMar>
          </w:tcPr>
          <w:p>
            <w:r>
              <w:rPr>
                <w:rFonts w:ascii="Calibri" w:cs="Calibri" w:eastAsia="Calibri" w:hAnsi="Calibri"/>
                <w:b/>
                <w:bCs/>
                <w:color w:val="FFFFFF"/>
                <w:sz w:val="20"/>
                <w:szCs w:val="20"/>
              </w:rPr>
              <w:t xml:space="preserve">What your team does</w:t>
            </w:r>
          </w:p>
        </w:tc>
        <w:tc>
          <w:tcPr>
            <w:tcW w:type="dxa" w:w="3744"/>
            <w:shd w:fill="9B2C2C" w:color="auto" w:val="clear"/>
            <w:tcMar>
              <w:top w:type="dxa" w:w="90"/>
              <w:left w:type="dxa" w:w="110"/>
              <w:bottom w:type="dxa" w:w="90"/>
              <w:right w:type="dxa" w:w="110"/>
            </w:tcMar>
          </w:tcPr>
          <w:p>
            <w:r>
              <w:rPr>
                <w:rFonts w:ascii="Calibri" w:cs="Calibri" w:eastAsia="Calibri" w:hAnsi="Calibri"/>
                <w:b/>
                <w:bCs/>
                <w:color w:val="FFFFFF"/>
                <w:sz w:val="20"/>
                <w:szCs w:val="20"/>
              </w:rPr>
              <w:t xml:space="preserve">What you leave with</w:t>
            </w:r>
          </w:p>
        </w:tc>
      </w:tr>
      <w:tr>
        <w:trPr>
          <w:cantSplit/>
        </w:trPr>
        <w:tc>
          <w:tcPr>
            <w:tcW w:type="dxa" w:w="1404"/>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Meeting 5</w:t>
            </w:r>
          </w:p>
          <w:p>
            <w:pPr>
              <w:spacing w:after="20"/>
            </w:pPr>
            <w:r>
              <w:rPr>
                <w:rFonts w:ascii="Calibri" w:cs="Calibri" w:eastAsia="Calibri" w:hAnsi="Calibri"/>
                <w:b/>
                <w:bCs/>
                <w:color w:val="1F2933"/>
                <w:sz w:val="21"/>
                <w:szCs w:val="21"/>
              </w:rPr>
              <w:t xml:space="preserve">Identify</w:t>
            </w:r>
          </w:p>
        </w:tc>
        <w:tc>
          <w:tcPr>
            <w:tcW w:type="dxa" w:w="4212"/>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Use the REAL filters — Readiness, Endurance, Assessed, Leverage — to choose the one essential standard to guarantee this cycle.</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One selected essential standard.</w:t>
            </w:r>
          </w:p>
        </w:tc>
      </w:tr>
      <w:tr>
        <w:trPr>
          <w:cantSplit/>
        </w:trPr>
        <w:tc>
          <w:tcPr>
            <w:tcW w:type="dxa" w:w="1404"/>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Meeting 6</w:t>
            </w:r>
          </w:p>
          <w:p>
            <w:pPr>
              <w:spacing w:after="20"/>
            </w:pPr>
            <w:r>
              <w:rPr>
                <w:rFonts w:ascii="Calibri" w:cs="Calibri" w:eastAsia="Calibri" w:hAnsi="Calibri"/>
                <w:b/>
                <w:bCs/>
                <w:color w:val="1F2933"/>
                <w:sz w:val="21"/>
                <w:szCs w:val="21"/>
              </w:rPr>
              <w:t xml:space="preserve">Deconstruct</w:t>
            </w:r>
          </w:p>
        </w:tc>
        <w:tc>
          <w:tcPr>
            <w:tcW w:type="dxa" w:w="4212"/>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Break that standard into learning targets — the knowledge and skills behind it — in student-friendly “I can…” language.</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Draft learning targets.</w:t>
            </w:r>
          </w:p>
        </w:tc>
      </w:tr>
      <w:tr>
        <w:trPr>
          <w:cantSplit/>
        </w:trPr>
        <w:tc>
          <w:tcPr>
            <w:tcW w:type="dxa" w:w="1404"/>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Meeting 7</w:t>
            </w:r>
          </w:p>
          <w:p>
            <w:pPr>
              <w:spacing w:after="20"/>
            </w:pPr>
            <w:r>
              <w:rPr>
                <w:rFonts w:ascii="Calibri" w:cs="Calibri" w:eastAsia="Calibri" w:hAnsi="Calibri"/>
                <w:b/>
                <w:bCs/>
                <w:color w:val="1F2933"/>
                <w:sz w:val="21"/>
                <w:szCs w:val="21"/>
              </w:rPr>
              <w:t xml:space="preserve">Define proficiency</w:t>
            </w:r>
          </w:p>
        </w:tc>
        <w:tc>
          <w:tcPr>
            <w:tcW w:type="dxa" w:w="4212"/>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Agree on what “they've learned it” looks like, and build success criteria for the targets.</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Success criteria for each target.</w:t>
            </w:r>
          </w:p>
        </w:tc>
      </w:tr>
      <w:tr>
        <w:trPr>
          <w:cantSplit/>
        </w:trPr>
        <w:tc>
          <w:tcPr>
            <w:tcW w:type="dxa" w:w="1404"/>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Meeting 8</w:t>
            </w:r>
          </w:p>
          <w:p>
            <w:pPr>
              <w:spacing w:after="20"/>
            </w:pPr>
            <w:r>
              <w:rPr>
                <w:rFonts w:ascii="Calibri" w:cs="Calibri" w:eastAsia="Calibri" w:hAnsi="Calibri"/>
                <w:b/>
                <w:bCs/>
                <w:color w:val="1F2933"/>
                <w:sz w:val="21"/>
                <w:szCs w:val="21"/>
              </w:rPr>
              <w:t xml:space="preserve">Calibrate</w:t>
            </w:r>
          </w:p>
        </w:tc>
        <w:tc>
          <w:tcPr>
            <w:tcW w:type="dxa" w:w="4212"/>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Write proficiency anchors, compare them, and refine your success criteria into one shared picture.</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An agreed picture of proficiency.</w:t>
            </w:r>
          </w:p>
        </w:tc>
      </w:tr>
    </w:tbl>
    <w:p>
      <w:pPr>
        <w:shd w:fill="F7ECEC" w:color="auto" w:val="clear"/>
        <w:spacing w:after="120" w:before="120"/>
      </w:pPr>
      <w:r>
        <w:rPr>
          <w:rFonts w:ascii="Calibri" w:cs="Calibri" w:eastAsia="Calibri" w:hAnsi="Calibri"/>
          <w:color w:val="1F2933"/>
          <w:sz w:val="21"/>
          <w:szCs w:val="21"/>
        </w:rPr>
        <w:t xml:space="preserve">How the pieces stack: the standard is the promise → the learning targets are the steps → the success criteria are how you'll know a student arrived. Meeting 8 locks in that shared picture before any assessment is written.</w:t>
      </w:r>
    </w:p>
    <w:p>
      <w:pPr>
        <w:keepNext/>
        <w:spacing w:after="80" w:before="200"/>
      </w:pPr>
      <w:r>
        <w:rPr>
          <w:rFonts w:ascii="Calibri" w:cs="Calibri" w:eastAsia="Calibri" w:hAnsi="Calibri"/>
          <w:b/>
          <w:bCs/>
          <w:color w:val="9B2C2C"/>
          <w:sz w:val="25"/>
          <w:szCs w:val="25"/>
        </w:rPr>
        <w:t xml:space="preserve">One tool to think with, one sheet to capture</w:t>
      </w:r>
    </w:p>
    <w:p>
      <w:pPr>
        <w:spacing w:after="120"/>
      </w:pPr>
      <w:r>
        <w:rPr>
          <w:rFonts w:ascii="Calibri" w:cs="Calibri" w:eastAsia="Calibri" w:hAnsi="Calibri"/>
          <w:color w:val="1F2933"/>
          <w:sz w:val="22"/>
          <w:szCs w:val="22"/>
        </w:rPr>
        <w:t xml:space="preserve">Each meeting pairs a method tool (how to think) with a capture sheet (where you write it down). You don't need more than that.</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1123"/>
        <w:gridCol w:w="4493"/>
        <w:gridCol w:w="3744"/>
      </w:tblGrid>
      <w:tr>
        <w:trPr>
          <w:tblHeader/>
        </w:trPr>
        <w:tc>
          <w:tcPr>
            <w:tcW w:type="dxa" w:w="1123"/>
            <w:shd w:fill="9B2C2C" w:color="auto" w:val="clear"/>
            <w:tcMar>
              <w:top w:type="dxa" w:w="90"/>
              <w:left w:type="dxa" w:w="110"/>
              <w:bottom w:type="dxa" w:w="90"/>
              <w:right w:type="dxa" w:w="110"/>
            </w:tcMar>
          </w:tcPr>
          <w:p>
            <w:r>
              <w:rPr>
                <w:rFonts w:ascii="Calibri" w:cs="Calibri" w:eastAsia="Calibri" w:hAnsi="Calibri"/>
                <w:b/>
                <w:bCs/>
                <w:color w:val="FFFFFF"/>
                <w:sz w:val="20"/>
                <w:szCs w:val="20"/>
              </w:rPr>
              <w:t xml:space="preserve">Meeting</w:t>
            </w:r>
          </w:p>
        </w:tc>
        <w:tc>
          <w:tcPr>
            <w:tcW w:type="dxa" w:w="4493"/>
            <w:shd w:fill="9B2C2C" w:color="auto" w:val="clear"/>
            <w:tcMar>
              <w:top w:type="dxa" w:w="90"/>
              <w:left w:type="dxa" w:w="110"/>
              <w:bottom w:type="dxa" w:w="90"/>
              <w:right w:type="dxa" w:w="110"/>
            </w:tcMar>
          </w:tcPr>
          <w:p>
            <w:r>
              <w:rPr>
                <w:rFonts w:ascii="Calibri" w:cs="Calibri" w:eastAsia="Calibri" w:hAnsi="Calibri"/>
                <w:b/>
                <w:bCs/>
                <w:color w:val="FFFFFF"/>
                <w:sz w:val="20"/>
                <w:szCs w:val="20"/>
              </w:rPr>
              <w:t xml:space="preserve">Think with</w:t>
            </w:r>
          </w:p>
        </w:tc>
        <w:tc>
          <w:tcPr>
            <w:tcW w:type="dxa" w:w="3744"/>
            <w:shd w:fill="9B2C2C" w:color="auto" w:val="clear"/>
            <w:tcMar>
              <w:top w:type="dxa" w:w="90"/>
              <w:left w:type="dxa" w:w="110"/>
              <w:bottom w:type="dxa" w:w="90"/>
              <w:right w:type="dxa" w:w="110"/>
            </w:tcMar>
          </w:tcPr>
          <w:p>
            <w:r>
              <w:rPr>
                <w:rFonts w:ascii="Calibri" w:cs="Calibri" w:eastAsia="Calibri" w:hAnsi="Calibri"/>
                <w:b/>
                <w:bCs/>
                <w:color w:val="FFFFFF"/>
                <w:sz w:val="20"/>
                <w:szCs w:val="20"/>
              </w:rPr>
              <w:t xml:space="preserve">Capture on</w:t>
            </w:r>
          </w:p>
        </w:tc>
      </w:tr>
      <w:tr>
        <w:trPr>
          <w:cantSplit/>
        </w:trPr>
        <w:tc>
          <w:tcPr>
            <w:tcW w:type="dxa" w:w="1123"/>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5</w:t>
            </w:r>
          </w:p>
        </w:tc>
        <w:tc>
          <w:tcPr>
            <w:tcW w:type="dxa" w:w="4493"/>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Using REAL to Identify Essential Standards (Solution Tree)</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EMS Essential Standards Organizer</w:t>
            </w:r>
          </w:p>
        </w:tc>
      </w:tr>
      <w:tr>
        <w:trPr>
          <w:cantSplit/>
        </w:trPr>
        <w:tc>
          <w:tcPr>
            <w:tcW w:type="dxa" w:w="1123"/>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6</w:t>
            </w:r>
          </w:p>
        </w:tc>
        <w:tc>
          <w:tcPr>
            <w:tcW w:type="dxa" w:w="4493"/>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EMS Learning Target Breakdown — Deconstructing an Essential Standard (Solution Tree) is optional</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EMS Learning Target Breakdown</w:t>
            </w:r>
          </w:p>
        </w:tc>
      </w:tr>
      <w:tr>
        <w:trPr>
          <w:cantSplit/>
        </w:trPr>
        <w:tc>
          <w:tcPr>
            <w:tcW w:type="dxa" w:w="1123"/>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7</w:t>
            </w:r>
          </w:p>
        </w:tc>
        <w:tc>
          <w:tcPr>
            <w:tcW w:type="dxa" w:w="4493"/>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Gaining Shared Clarity (Solution Tree)</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Developing a Success Checklist (Solution Tree)</w:t>
            </w:r>
          </w:p>
        </w:tc>
      </w:tr>
      <w:tr>
        <w:trPr>
          <w:cantSplit/>
        </w:trPr>
        <w:tc>
          <w:tcPr>
            <w:tcW w:type="dxa" w:w="1123"/>
            <w:shd w:fill="F7ECEC" w:color="auto" w:val="clear"/>
            <w:tcMar>
              <w:top w:type="dxa" w:w="90"/>
              <w:left w:type="dxa" w:w="110"/>
              <w:bottom w:type="dxa" w:w="90"/>
              <w:right w:type="dxa" w:w="110"/>
            </w:tcMar>
            <w:vAlign w:val="top"/>
          </w:tcPr>
          <w:p>
            <w:pPr>
              <w:spacing w:after="20"/>
            </w:pPr>
            <w:r>
              <w:rPr>
                <w:rFonts w:ascii="Calibri" w:cs="Calibri" w:eastAsia="Calibri" w:hAnsi="Calibri"/>
                <w:b/>
                <w:bCs/>
                <w:color w:val="1F2933"/>
                <w:sz w:val="21"/>
                <w:szCs w:val="21"/>
              </w:rPr>
              <w:t xml:space="preserve">8</w:t>
            </w:r>
          </w:p>
        </w:tc>
        <w:tc>
          <w:tcPr>
            <w:tcW w:type="dxa" w:w="4493"/>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Proficiency Anchors protocol (write, compare, refine)</w:t>
            </w:r>
          </w:p>
        </w:tc>
        <w:tc>
          <w:tcPr>
            <w:tcW w:type="dxa" w:w="3744"/>
            <w:tcMar>
              <w:top w:type="dxa" w:w="90"/>
              <w:left w:type="dxa" w:w="110"/>
              <w:bottom w:type="dxa" w:w="90"/>
              <w:right w:type="dxa" w:w="110"/>
            </w:tcMar>
            <w:vAlign w:val="top"/>
          </w:tcPr>
          <w:p>
            <w:pPr>
              <w:spacing w:after="20"/>
            </w:pPr>
            <w:r>
              <w:rPr>
                <w:rFonts w:ascii="Calibri" w:cs="Calibri" w:eastAsia="Calibri" w:hAnsi="Calibri"/>
                <w:b w:val="false"/>
                <w:bCs w:val="false"/>
                <w:color w:val="1F2933"/>
                <w:sz w:val="21"/>
                <w:szCs w:val="21"/>
              </w:rPr>
              <w:t xml:space="preserve">EMS Proficiency Anchors</w:t>
            </w:r>
          </w:p>
        </w:tc>
      </w:tr>
    </w:tbl>
    <w:p>
      <w:pPr>
        <w:shd w:fill="F7ECEC" w:color="auto" w:val="clear"/>
        <w:spacing w:after="120" w:before="120"/>
      </w:pPr>
      <w:r>
        <w:rPr>
          <w:rFonts w:ascii="Calibri" w:cs="Calibri" w:eastAsia="Calibri" w:hAnsi="Calibri"/>
          <w:color w:val="1F2933"/>
          <w:sz w:val="21"/>
          <w:szCs w:val="21"/>
        </w:rPr>
        <w:t xml:space="preserve">Meeting 8 builds a shared definition of proficiency — but it is not scoring calibration. You can't truly calibrate scores until students have taken the common assessment, so that real calibration comes later, after the first CFA. For now, the team agrees on what proficient looks like.</w:t>
      </w:r>
    </w:p>
    <w:p>
      <w:pPr>
        <w:pBdr>
          <w:top w:val="single" w:color="E5E7EB" w:sz="4" w:space="6"/>
        </w:pBdr>
        <w:spacing w:before="200"/>
      </w:pPr>
      <w:r>
        <w:rPr>
          <w:rFonts w:ascii="Calibri" w:cs="Calibri" w:eastAsia="Calibri" w:hAnsi="Calibri"/>
          <w:i/>
          <w:iCs/>
          <w:color w:val="64748B"/>
          <w:sz w:val="18"/>
          <w:szCs w:val="18"/>
        </w:rPr>
        <w:t xml:space="preserve">Elsinore Middle School Professional Learning Teams · 2026–27 · Meetings 5–8 roadmap.</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99b42b83e4322fd1fa5b08918f52bc312df9639.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2026-10-04T04:13:07.582Z</dcterms:created>
  <dcterms:modified xsi:type="dcterms:W3CDTF">2026-10-04T04:13:07.585Z</dcterms:modified>
</cp:coreProperties>
</file>

<file path=docProps/custom.xml><?xml version="1.0" encoding="utf-8"?>
<Properties xmlns="http://schemas.openxmlformats.org/officeDocument/2006/custom-properties" xmlns:vt="http://schemas.openxmlformats.org/officeDocument/2006/docPropsVTypes"/>
</file>