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38150"/>
                    </a:xfrm>
                    <a:prstGeom prst="rect">
                      <a:avLst/>
                    </a:prstGeom>
                  </pic:spPr>
                </pic:pic>
              </a:graphicData>
            </a:graphic>
          </wp:inline>
        </w:drawing>
      </w:r>
    </w:p>
    <w:p>
      <w:pPr>
        <w:spacing w:after="20"/>
      </w:pPr>
      <w:r>
        <w:rPr>
          <w:rFonts w:ascii="Calibri" w:cs="Calibri" w:eastAsia="Calibri" w:hAnsi="Calibri"/>
          <w:b/>
          <w:bCs/>
          <w:color w:val="9B2C2C"/>
          <w:spacing w:val="8"/>
          <w:sz w:val="16"/>
          <w:szCs w:val="16"/>
        </w:rPr>
        <w:t xml:space="preserve">ELSINORE MIDDLE SCHOOL · MEETING 8 · CLARIFYING ESSENTIAL LEARNING</w:t>
      </w:r>
    </w:p>
    <w:p>
      <w:pPr>
        <w:spacing w:after="20"/>
      </w:pPr>
      <w:r>
        <w:rPr>
          <w:rFonts w:ascii="Calibri" w:cs="Calibri" w:eastAsia="Calibri" w:hAnsi="Calibri"/>
          <w:b/>
          <w:bCs/>
          <w:color w:val="1F2933"/>
          <w:sz w:val="40"/>
          <w:szCs w:val="40"/>
        </w:rPr>
        <w:t xml:space="preserve">Proficiency Anchors</w:t>
      </w:r>
    </w:p>
    <w:p>
      <w:pPr>
        <w:pBdr>
          <w:bottom w:val="single" w:color="9B2C2C" w:sz="14" w:space="6"/>
        </w:pBdr>
        <w:spacing w:after="120"/>
      </w:pPr>
      <w:r>
        <w:rPr>
          <w:rFonts w:ascii="Calibri" w:cs="Calibri" w:eastAsia="Calibri" w:hAnsi="Calibri"/>
          <w:color w:val="64748B"/>
          <w:sz w:val="22"/>
          <w:szCs w:val="22"/>
        </w:rPr>
        <w:t xml:space="preserve">Define what “proficient” means together — before students have produced any work.</w:t>
      </w:r>
    </w:p>
    <w:p>
      <w:pPr>
        <w:spacing w:after="120"/>
      </w:pPr>
      <w:r>
        <w:rPr>
          <w:rFonts w:ascii="Calibri" w:cs="Calibri" w:eastAsia="Calibri" w:hAnsi="Calibri"/>
          <w:color w:val="1F2933"/>
          <w:sz w:val="22"/>
          <w:szCs w:val="22"/>
        </w:rPr>
        <w:t xml:space="preserve">You can't calibrate scoring until students have taken an assessment. What you can do now is agree on what proficient looks like. Each teacher writes anchors for one key learning target; then the team compares them, names the disagreements, and refines the success criteria. The disagreements are the point — that's where a shared definition gets built.</w:t>
      </w:r>
    </w:p>
    <w:p>
      <w:pPr>
        <w:keepNext/>
        <w:spacing w:after="80" w:before="200"/>
      </w:pPr>
      <w:r>
        <w:rPr>
          <w:rFonts w:ascii="Calibri" w:cs="Calibri" w:eastAsia="Calibri" w:hAnsi="Calibri"/>
          <w:b/>
          <w:bCs/>
          <w:color w:val="9B2C2C"/>
          <w:sz w:val="25"/>
          <w:szCs w:val="25"/>
        </w:rPr>
        <w:t xml:space="preserve">1. Choose one key learning target</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2434"/>
        <w:gridCol w:w="6926"/>
      </w:tblGrid>
      <w:tr>
        <w:trPr>
          <w:cantSplit/>
          <w:trHeight w:val="1080" w:hRule="atLeast"/>
        </w:trPr>
        <w:tc>
          <w:tcPr>
            <w:tcW w:type="dxa" w:w="2434"/>
            <w:shd w:fill="F7ECEC" w:color="auto" w:val="clear"/>
            <w:tcMar>
              <w:top w:type="dxa" w:w="90"/>
              <w:left w:type="dxa" w:w="110"/>
              <w:bottom w:type="dxa" w:w="90"/>
              <w:right w:type="dxa" w:w="110"/>
            </w:tcMar>
            <w:vAlign w:val="top"/>
          </w:tcPr>
          <w:p>
            <w:pPr>
              <w:spacing w:after="20"/>
            </w:pPr>
            <w:r>
              <w:rPr>
                <w:rFonts w:ascii="Calibri" w:cs="Calibri" w:eastAsia="Calibri" w:hAnsi="Calibri"/>
                <w:b/>
                <w:bCs/>
                <w:color w:val="1F2933"/>
                <w:sz w:val="21"/>
                <w:szCs w:val="21"/>
              </w:rPr>
              <w:t xml:space="preserve">Learning target</w:t>
            </w:r>
          </w:p>
        </w:tc>
        <w:tc>
          <w:tcPr>
            <w:tcW w:type="dxa" w:w="6926"/>
            <w:tcMar>
              <w:top w:type="dxa" w:w="90"/>
              <w:left w:type="dxa" w:w="110"/>
              <w:bottom w:type="dxa" w:w="90"/>
              <w:right w:type="dxa" w:w="110"/>
            </w:tcMar>
            <w:vAlign w:val="top"/>
          </w:tcPr>
          <w:p>
            <w:pPr>
              <w:spacing w:after="20"/>
            </w:pPr>
            <w:r>
              <w:rPr>
                <w:rFonts w:ascii="Calibri" w:cs="Calibri" w:eastAsia="Calibri" w:hAnsi="Calibri"/>
                <w:b w:val="false"/>
                <w:bCs w:val="false"/>
                <w:color w:val="1F2933"/>
                <w:sz w:val="21"/>
                <w:szCs w:val="21"/>
              </w:rPr>
              <w:t xml:space="preserve"/>
            </w:r>
          </w:p>
        </w:tc>
      </w:tr>
    </w:tbl>
    <w:p>
      <w:pPr>
        <w:keepNext/>
        <w:spacing w:after="80" w:before="200"/>
      </w:pPr>
      <w:r>
        <w:rPr>
          <w:rFonts w:ascii="Calibri" w:cs="Calibri" w:eastAsia="Calibri" w:hAnsi="Calibri"/>
          <w:b/>
          <w:bCs/>
          <w:color w:val="9B2C2C"/>
          <w:sz w:val="25"/>
          <w:szCs w:val="25"/>
        </w:rPr>
        <w:t xml:space="preserve">2. Write your anchors (each teacher writes independently first, then share)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4680"/>
        <w:gridCol w:w="4680"/>
      </w:tblGrid>
      <w:tr>
        <w:trPr>
          <w:tblHeader/>
        </w:trPr>
        <w:tc>
          <w:tcPr>
            <w:tcW w:type="dxa" w:w="4680"/>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A proficient response looks like…</w:t>
            </w:r>
          </w:p>
        </w:tc>
        <w:tc>
          <w:tcPr>
            <w:tcW w:type="dxa" w:w="4680"/>
            <w:shd w:fill="9B2C2C" w:color="auto" w:val="clear"/>
            <w:tcMar>
              <w:top w:type="dxa" w:w="90"/>
              <w:left w:type="dxa" w:w="110"/>
              <w:bottom w:type="dxa" w:w="90"/>
              <w:right w:type="dxa" w:w="110"/>
            </w:tcMar>
          </w:tcPr>
          <w:p>
            <w:r>
              <w:rPr>
                <w:rFonts w:ascii="Calibri" w:cs="Calibri" w:eastAsia="Calibri" w:hAnsi="Calibri"/>
                <w:b/>
                <w:bCs/>
                <w:color w:val="FFFFFF"/>
                <w:sz w:val="20"/>
                <w:szCs w:val="20"/>
              </w:rPr>
              <w:t xml:space="preserve">A not-yet-proficient response looks like…</w:t>
            </w:r>
          </w:p>
        </w:tc>
      </w:tr>
      <w:tr>
        <w:trPr>
          <w:cantSplit/>
          <w:trHeight w:val="1080" w:hRule="atLeast"/>
        </w:trPr>
        <w:tc>
          <w:tcPr>
            <w:tcW w:type="dxa" w:w="468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c>
          <w:tcPr>
            <w:tcW w:type="dxa" w:w="468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r>
        <w:trPr>
          <w:cantSplit/>
          <w:trHeight w:val="1080" w:hRule="atLeast"/>
        </w:trPr>
        <w:tc>
          <w:tcPr>
            <w:tcW w:type="dxa" w:w="468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c>
          <w:tcPr>
            <w:tcW w:type="dxa" w:w="468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bl>
    <w:p>
      <w:pPr>
        <w:keepNext/>
        <w:spacing w:after="80" w:before="200"/>
      </w:pPr>
      <w:r>
        <w:rPr>
          <w:rFonts w:ascii="Calibri" w:cs="Calibri" w:eastAsia="Calibri" w:hAnsi="Calibri"/>
          <w:b/>
          <w:bCs/>
          <w:color w:val="9B2C2C"/>
          <w:sz w:val="25"/>
          <w:szCs w:val="25"/>
        </w:rPr>
        <w:t xml:space="preserve">3. Where did we disagree?</w:t>
      </w:r>
    </w:p>
    <w:p>
      <w:pPr>
        <w:spacing w:after="120"/>
      </w:pPr>
      <w:r>
        <w:rPr>
          <w:rFonts w:ascii="Calibri" w:cs="Calibri" w:eastAsia="Calibri" w:hAnsi="Calibri"/>
          <w:color w:val="1F2933"/>
          <w:sz w:val="22"/>
          <w:szCs w:val="22"/>
        </w:rPr>
        <w:t xml:space="preserve">Put the anchors side by side. Where do we disagree about whether a response is “there yet”? Name it — that's the work.</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9360"/>
      </w:tblGrid>
      <w:tr>
        <w:trPr>
          <w:cantSplit/>
          <w:trHeight w:val="1080" w:hRule="atLeast"/>
        </w:trPr>
        <w:tc>
          <w:tcPr>
            <w:tcW w:type="dxa" w:w="936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r>
        <w:trPr>
          <w:cantSplit/>
          <w:trHeight w:val="1080" w:hRule="atLeast"/>
        </w:trPr>
        <w:tc>
          <w:tcPr>
            <w:tcW w:type="dxa" w:w="936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bl>
    <w:p>
      <w:pPr>
        <w:keepNext/>
        <w:spacing w:after="80" w:before="200"/>
      </w:pPr>
      <w:r>
        <w:rPr>
          <w:rFonts w:ascii="Calibri" w:cs="Calibri" w:eastAsia="Calibri" w:hAnsi="Calibri"/>
          <w:b/>
          <w:bCs/>
          <w:color w:val="9B2C2C"/>
          <w:sz w:val="25"/>
          <w:szCs w:val="25"/>
        </w:rPr>
        <w:t xml:space="preserve">4. Refine the success criteria</w:t>
      </w:r>
    </w:p>
    <w:p>
      <w:pPr>
        <w:spacing w:after="120"/>
      </w:pPr>
      <w:r>
        <w:rPr>
          <w:rFonts w:ascii="Calibri" w:cs="Calibri" w:eastAsia="Calibri" w:hAnsi="Calibri"/>
          <w:color w:val="1F2933"/>
          <w:sz w:val="22"/>
          <w:szCs w:val="22"/>
        </w:rPr>
        <w:t xml:space="preserve">Rewrite your success criteria so they capture what the team agreed proficiency means — in specific, observable language.</w:t>
      </w: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9360"/>
      </w:tblGrid>
      <w:tr>
        <w:trPr>
          <w:cantSplit/>
          <w:trHeight w:val="1080" w:hRule="atLeast"/>
        </w:trPr>
        <w:tc>
          <w:tcPr>
            <w:tcW w:type="dxa" w:w="936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r>
        <w:trPr>
          <w:cantSplit/>
          <w:trHeight w:val="1080" w:hRule="atLeast"/>
        </w:trPr>
        <w:tc>
          <w:tcPr>
            <w:tcW w:type="dxa" w:w="936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r>
        <w:trPr>
          <w:cantSplit/>
          <w:trHeight w:val="1080" w:hRule="atLeast"/>
        </w:trPr>
        <w:tc>
          <w:tcPr>
            <w:tcW w:type="dxa" w:w="9360"/>
            <w:tcMar>
              <w:top w:type="dxa" w:w="90"/>
              <w:left w:type="dxa" w:w="110"/>
              <w:bottom w:type="dxa" w:w="90"/>
              <w:right w:type="dxa" w:w="110"/>
            </w:tcMar>
            <w:vAlign w:val="top"/>
          </w:tcPr>
          <w:p>
            <w:pPr>
              <w:spacing w:after="20"/>
            </w:pPr>
            <w:r>
              <w:rPr>
                <w:rFonts w:ascii="Calibri" w:cs="Calibri" w:eastAsia="Calibri" w:hAnsi="Calibri"/>
                <w:color w:val="1F2933"/>
                <w:sz w:val="21"/>
                <w:szCs w:val="21"/>
              </w:rPr>
              <w:t xml:space="preserve"/>
            </w:r>
          </w:p>
        </w:tc>
      </w:tr>
    </w:tbl>
    <w:p>
      <w:pPr>
        <w:shd w:fill="F7ECEC" w:color="auto" w:val="clear"/>
        <w:spacing w:after="120" w:before="120"/>
      </w:pPr>
      <w:r>
        <w:rPr>
          <w:rFonts w:ascii="Calibri" w:cs="Calibri" w:eastAsia="Calibri" w:hAnsi="Calibri"/>
          <w:color w:val="1F2933"/>
          <w:sz w:val="21"/>
          <w:szCs w:val="21"/>
        </w:rPr>
        <w:t xml:space="preserve">Keep this. When students take the common assessment, these anchors and criteria are what you'll calibrate real scoring against.</w:t>
      </w:r>
    </w:p>
    <w:p>
      <w:pPr>
        <w:pBdr>
          <w:top w:val="single" w:color="E5E7EB" w:sz="4" w:space="6"/>
        </w:pBdr>
        <w:spacing w:before="200"/>
      </w:pPr>
      <w:r>
        <w:rPr>
          <w:rFonts w:ascii="Calibri" w:cs="Calibri" w:eastAsia="Calibri" w:hAnsi="Calibri"/>
          <w:i/>
          <w:iCs/>
          <w:color w:val="64748B"/>
          <w:sz w:val="18"/>
          <w:szCs w:val="18"/>
        </w:rPr>
        <w:t xml:space="preserve">Elsinore Middle School Professional Learning Teams · 2026–27 · Proficiency anchors worksheet.</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99b42b83e4322fd1fa5b08918f52bc312df963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2026-10-04T04:13:15.159Z</dcterms:created>
  <dcterms:modified xsi:type="dcterms:W3CDTF">2026-10-04T04:13:15.160Z</dcterms:modified>
</cp:coreProperties>
</file>

<file path=docProps/custom.xml><?xml version="1.0" encoding="utf-8"?>
<Properties xmlns="http://schemas.openxmlformats.org/officeDocument/2006/custom-properties" xmlns:vt="http://schemas.openxmlformats.org/officeDocument/2006/docPropsVTypes"/>
</file>