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drawing>
          <wp:inline distT="0" distB="0" distL="0" distR="0">
            <wp:extent cx="571500" cy="37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9B2C2C"/>
          <w:sz w:val="15"/>
          <w:szCs w:val="15"/>
        </w:rPr>
        <w:t xml:space="preserve">ELSINORE MIDDLE SCHOOL · STAFF MEETING · PROFESSIONAL LEARNING TEAMS</w:t>
      </w:r>
    </w:p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2933"/>
          <w:sz w:val="40"/>
          <w:szCs w:val="40"/>
        </w:rPr>
        <w:t xml:space="preserve">Where We Are, Where We're Going</w:t>
      </w:r>
    </w:p>
    <w:p>
      <w:pPr>
        <w:spacing w:after="170"/>
        <w:jc w:val="center"/>
      </w:pPr>
      <w:r>
        <w:rPr>
          <w:rFonts w:ascii="Calibri" w:cs="Calibri" w:eastAsia="Calibri" w:hAnsi="Calibri"/>
          <w:i/>
          <w:iCs/>
          <w:color w:val="64748B"/>
          <w:sz w:val="23"/>
          <w:szCs w:val="23"/>
        </w:rPr>
        <w:t xml:space="preserve">A quick update on our PLT work — and what's ahead</w:t>
      </w:r>
    </w:p>
    <w:p>
      <w:pPr>
        <w:spacing w:after="90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A quick reset (we covered the full “why” at the start of the year): a PLC isn't a meeting or a binder — it's how we work together so every student learns. Teams have built their foundation — roles, norms, and accountability. Here's what's next.</w:t>
      </w:r>
    </w:p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Meetings 3 and 4: finishing the foundation</w:t>
      </w:r>
    </w:p>
    <w:p>
      <w:pPr>
        <w:spacing w:after="90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Meeting 3 — baseline how your team works together on the Collaborative Team Rubric: a mirror, not a grade; it stays with your team and isn't reported up. Name one thing to grow. Meeting 4 — a reset to finish anything from Meetings 1–4 that isn't done yet, and make sure the team is ready to move into the first big chunk of the content work: Clarifying Essential Learning.</w:t>
      </w:r>
    </w:p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Meeting 4 checklist — are we ready to move on?</w:t>
      </w:r>
    </w:p>
    <w:p>
      <w:pPr>
        <w:spacing w:after="90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Before the standards work begins, our team has:</w:t>
      </w:r>
    </w:p>
    <w:p>
      <w:pPr>
        <w:spacing w:after="60"/>
      </w:pPr>
      <w:r>
        <w:rPr>
          <w:rFonts w:ascii="Calibri" w:cs="Calibri" w:eastAsia="Calibri" w:hAnsi="Calibri"/>
          <w:color w:val="9B2C2C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F2933"/>
          <w:sz w:val="22"/>
          <w:szCs w:val="22"/>
        </w:rPr>
        <w:t xml:space="preserve">A shared understanding of why the PLC process matters — why we're doing this work (Meeting 1)</w:t>
      </w:r>
    </w:p>
    <w:p>
      <w:pPr>
        <w:spacing w:after="60"/>
      </w:pPr>
      <w:r>
        <w:rPr>
          <w:rFonts w:ascii="Calibri" w:cs="Calibri" w:eastAsia="Calibri" w:hAnsi="Calibri"/>
          <w:color w:val="9B2C2C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F2933"/>
          <w:sz w:val="22"/>
          <w:szCs w:val="22"/>
        </w:rPr>
        <w:t xml:space="preserve">Team roles assigned, with backups (Meetings 2 &amp; 4)</w:t>
      </w:r>
    </w:p>
    <w:p>
      <w:pPr>
        <w:spacing w:after="60"/>
      </w:pPr>
      <w:r>
        <w:rPr>
          <w:rFonts w:ascii="Calibri" w:cs="Calibri" w:eastAsia="Calibri" w:hAnsi="Calibri"/>
          <w:color w:val="9B2C2C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F2933"/>
          <w:sz w:val="22"/>
          <w:szCs w:val="22"/>
        </w:rPr>
        <w:t xml:space="preserve">Specific, observable “We will…” norms (Meeting 2)</w:t>
      </w:r>
    </w:p>
    <w:p>
      <w:pPr>
        <w:spacing w:after="60"/>
      </w:pPr>
      <w:r>
        <w:rPr>
          <w:rFonts w:ascii="Calibri" w:cs="Calibri" w:eastAsia="Calibri" w:hAnsi="Calibri"/>
          <w:color w:val="9B2C2C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F2933"/>
          <w:sz w:val="22"/>
          <w:szCs w:val="22"/>
        </w:rPr>
        <w:t xml:space="preserve">An agreed way to hold each other accountable (Meetings 2 &amp; 4)</w:t>
      </w:r>
    </w:p>
    <w:p>
      <w:pPr>
        <w:spacing w:after="60"/>
      </w:pPr>
      <w:r>
        <w:rPr>
          <w:rFonts w:ascii="Calibri" w:cs="Calibri" w:eastAsia="Calibri" w:hAnsi="Calibri"/>
          <w:color w:val="9B2C2C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1F2933"/>
          <w:sz w:val="22"/>
          <w:szCs w:val="22"/>
        </w:rPr>
        <w:t xml:space="preserve">A Collaborative Team Rubric baseline and one growth focus (Meeting 3)</w:t>
      </w:r>
    </w:p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Where we're going → Clarifying Essential Learning (Meetings 5–8)</w:t>
      </w:r>
    </w:p>
    <w:p>
      <w:pPr>
        <w:spacing w:after="90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Critical Question 1 — what do we want students to learn? By Meeting 8, each team will have worked through: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833"/>
      </w:tblGrid>
      <w:tr>
        <w:trPr>
          <w:tblHeader/>
        </w:trPr>
        <w:tc>
          <w:tcPr>
            <w:tcW w:type="dxa" w:w="2527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Meeting</w:t>
            </w:r>
          </w:p>
        </w:tc>
        <w:tc>
          <w:tcPr>
            <w:tcW w:type="dxa" w:w="6833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Focus</w:t>
            </w:r>
          </w:p>
        </w:tc>
      </w:tr>
      <w:tr>
        <w:trPr>
          <w:trHeight w:val="560" w:hRule="atLeast"/>
        </w:trPr>
        <w:tc>
          <w:tcPr>
            <w:tcW w:type="dxa" w:w="2527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Meeting 5 · Oct 7</w:t>
            </w:r>
          </w:p>
        </w:tc>
        <w:tc>
          <w:tcPr>
            <w:tcW w:type="dxa" w:w="6833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Identify the one essential standard to guarantee this cycle.</w:t>
            </w:r>
          </w:p>
        </w:tc>
      </w:tr>
      <w:tr>
        <w:trPr>
          <w:trHeight w:val="560" w:hRule="atLeast"/>
        </w:trPr>
        <w:tc>
          <w:tcPr>
            <w:tcW w:type="dxa" w:w="2527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Meeting 6 · Oct 21</w:t>
            </w:r>
          </w:p>
        </w:tc>
        <w:tc>
          <w:tcPr>
            <w:tcW w:type="dxa" w:w="6833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Deconstruct that standard into clear learning targets.</w:t>
            </w:r>
          </w:p>
        </w:tc>
      </w:tr>
      <w:tr>
        <w:trPr>
          <w:trHeight w:val="560" w:hRule="atLeast"/>
        </w:trPr>
        <w:tc>
          <w:tcPr>
            <w:tcW w:type="dxa" w:w="2527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Meeting 7 · Nov 4</w:t>
            </w:r>
          </w:p>
        </w:tc>
        <w:tc>
          <w:tcPr>
            <w:tcW w:type="dxa" w:w="6833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Define proficiency — what “learned it” actually looks like.</w:t>
            </w:r>
          </w:p>
        </w:tc>
      </w:tr>
      <w:tr>
        <w:trPr>
          <w:trHeight w:val="560" w:hRule="atLeast"/>
        </w:trPr>
        <w:tc>
          <w:tcPr>
            <w:tcW w:type="dxa" w:w="2527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Meeting 8 · Nov 18</w:t>
            </w:r>
          </w:p>
        </w:tc>
        <w:tc>
          <w:tcPr>
            <w:tcW w:type="dxa" w:w="6833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Buffer &amp; calibration — finalize the targets and proficiency.</w:t>
            </w:r>
          </w:p>
        </w:tc>
      </w:tr>
    </w:tbl>
    <w:p>
      <w:pPr>
        <w:pBdr>
          <w:top w:val="single" w:color="E2E2E2" w:sz="4" w:space="8"/>
        </w:pBdr>
        <w:spacing w:before="180"/>
      </w:pPr>
      <w:r>
        <w:rPr>
          <w:rFonts w:ascii="Calibri" w:cs="Calibri" w:eastAsia="Calibri" w:hAnsi="Calibri"/>
          <w:i/>
          <w:iCs/>
          <w:color w:val="64748B"/>
          <w:sz w:val="15"/>
          <w:szCs w:val="15"/>
        </w:rPr>
        <w:t xml:space="preserve">Elsinore Middle School Professional Learning Teams · 2026–27 · Staff update.</w:t>
      </w:r>
    </w:p>
    <w:sectPr>
      <w:pgSz w:w="12240" w:h="15840" w:orient="portrait"/>
      <w:pgMar w:top="900" w:right="1440" w:bottom="9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99b42b83e4322fd1fa5b08918f52bc312df963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Where We Are, Where We're Going — A quick update on our PLT work — and what's ahead</dc:title>
  <dc:creator>Elsinore Middle School PLT</dc:creator>
  <cp:lastModifiedBy>Un-named</cp:lastModifiedBy>
  <cp:revision>1</cp:revision>
  <dcterms:created xsi:type="dcterms:W3CDTF">2026-08-29T23:18:37.774Z</dcterms:created>
  <dcterms:modified xsi:type="dcterms:W3CDTF">2026-08-29T23:18:37.777Z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