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drawing>
          <wp:inline distT="0" distB="0" distL="0" distR="0">
            <wp:extent cx="5715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 cy="371475"/>
                    </a:xfrm>
                    <a:prstGeom prst="rect">
                      <a:avLst/>
                    </a:prstGeom>
                  </pic:spPr>
                </pic:pic>
              </a:graphicData>
            </a:graphic>
          </wp:inline>
        </w:drawing>
      </w:r>
    </w:p>
    <w:p>
      <w:pPr>
        <w:spacing w:after="30"/>
        <w:jc w:val="center"/>
      </w:pPr>
      <w:r>
        <w:rPr>
          <w:rFonts w:ascii="Calibri" w:cs="Calibri" w:eastAsia="Calibri" w:hAnsi="Calibri"/>
          <w:b/>
          <w:bCs/>
          <w:color w:val="9B2C2C"/>
          <w:sz w:val="15"/>
          <w:szCs w:val="15"/>
        </w:rPr>
        <w:t xml:space="preserve">ELSINORE MIDDLE SCHOOL · MEETING 4 OF 18 · AGENDA</w:t>
      </w:r>
    </w:p>
    <w:p>
      <w:pPr>
        <w:spacing w:after="20"/>
        <w:jc w:val="center"/>
      </w:pPr>
      <w:r>
        <w:rPr>
          <w:rFonts w:ascii="Calibri" w:cs="Calibri" w:eastAsia="Calibri" w:hAnsi="Calibri"/>
          <w:b/>
          <w:bCs/>
          <w:color w:val="1F2933"/>
          <w:sz w:val="40"/>
          <w:szCs w:val="40"/>
        </w:rPr>
        <w:t xml:space="preserve">Reset and Readiness Check</w:t>
      </w:r>
    </w:p>
    <w:p>
      <w:pPr>
        <w:spacing w:after="170"/>
        <w:jc w:val="center"/>
      </w:pPr>
      <w:r>
        <w:rPr>
          <w:rFonts w:ascii="Calibri" w:cs="Calibri" w:eastAsia="Calibri" w:hAnsi="Calibri"/>
          <w:i/>
          <w:iCs/>
          <w:color w:val="64748B"/>
          <w:sz w:val="23"/>
          <w:szCs w:val="23"/>
        </w:rPr>
        <w:t xml:space="preserve">Buffer meeting for culture, clarity, and questions.</w:t>
      </w:r>
    </w:p>
    <w:p>
      <w:pPr>
        <w:spacing w:after="90" w:before="220"/>
      </w:pPr>
      <w:r>
        <w:rPr>
          <w:rFonts w:ascii="Calibri" w:cs="Calibri" w:eastAsia="Calibri" w:hAnsi="Calibri"/>
          <w:b/>
          <w:bCs/>
          <w:color w:val="9B2C2C"/>
          <w:sz w:val="26"/>
          <w:szCs w:val="26"/>
        </w:rPr>
        <w:t xml:space="preserve">Why this meeting matters</w:t>
      </w:r>
    </w:p>
    <w:p>
      <w:pPr>
        <w:spacing w:after="90"/>
      </w:pPr>
      <w:r>
        <w:rPr>
          <w:rFonts w:ascii="Calibri" w:cs="Calibri" w:eastAsia="Calibri" w:hAnsi="Calibri"/>
          <w:color w:val="1F2933"/>
          <w:sz w:val="22"/>
          <w:szCs w:val="22"/>
        </w:rPr>
        <w:t xml:space="preserve">This is the first intentional buffer. Some teams will still be confused, skeptical, or waiting to be told exactly what to do. This meeting prevents teams from moving forward without clarity.</w:t>
      </w:r>
    </w:p>
    <w:p>
      <w:pPr>
        <w:spacing w:after="90"/>
      </w:pPr>
      <w:r>
        <w:rPr>
          <w:rFonts w:ascii="Calibri" w:cs="Calibri" w:eastAsia="Calibri" w:hAnsi="Calibri"/>
          <w:color w:val="1F2933"/>
          <w:sz w:val="22"/>
          <w:szCs w:val="22"/>
        </w:rPr>
        <w:t xml:space="preserve">It's also where the Meeting 2 foundation gets finished: refine your roles and norms and complete the accountability worksheet, so the way your team works is settled before the learning cycle begins.</w:t>
      </w:r>
    </w:p>
    <w:p>
      <w:pPr>
        <w:spacing w:after="90"/>
      </w:pPr>
      <w:r>
        <w:rPr>
          <w:rFonts w:ascii="Calibri" w:cs="Calibri" w:eastAsia="Calibri" w:hAnsi="Calibri"/>
          <w:color w:val="1F2933"/>
          <w:sz w:val="22"/>
          <w:szCs w:val="22"/>
        </w:rPr>
        <w:t xml:space="preserve">Then the team confirms it's ready: work through the readiness checklist on the back of the agenda, check off every task from Meetings 1–4, and use the remaining time to close any gaps — finishing incomplete foundation work is exactly what this buffer is for. The four critical questions aren't self-assessed here; teams meet them as the cycle unfolds, and give the honest, experience-based read at the end of the year (Meeting 18). The standards work itself begins next time, at Meeting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E2E2E2" w:sz="4"/>
              <w:left w:val="single" w:color="E2E2E2" w:sz="4"/>
              <w:bottom w:val="single" w:color="E2E2E2" w:sz="4"/>
              <w:right w:val="single" w:color="E2E2E2" w:sz="4"/>
            </w:tcBorders>
            <w:shd w:fill="9B2C2C" w:color="auto" w:val="clear"/>
            <w:tcMar>
              <w:top w:type="dxa" w:w="60"/>
              <w:left w:type="dxa" w:w="100"/>
              <w:bottom w:type="dxa" w:w="60"/>
              <w:right w:type="dxa" w:w="100"/>
            </w:tcMar>
          </w:tcPr>
          <w:p>
            <w:r>
              <w:rPr>
                <w:rFonts w:ascii="Calibri" w:cs="Calibri" w:eastAsia="Calibri" w:hAnsi="Calibri"/>
                <w:b/>
                <w:bCs/>
                <w:color w:val="FFFFFF"/>
                <w:sz w:val="20"/>
                <w:szCs w:val="20"/>
              </w:rPr>
              <w:t xml:space="preserve"/>
            </w:r>
          </w:p>
        </w:tc>
        <w:tc>
          <w:tcPr>
            <w:tcW w:type="dxa" w:w="7488"/>
            <w:tcBorders>
              <w:top w:val="single" w:color="E2E2E2" w:sz="4"/>
              <w:left w:val="single" w:color="E2E2E2" w:sz="4"/>
              <w:bottom w:val="single" w:color="E2E2E2" w:sz="4"/>
              <w:right w:val="single" w:color="E2E2E2" w:sz="4"/>
            </w:tcBorders>
            <w:shd w:fill="9B2C2C" w:color="auto" w:val="clear"/>
            <w:tcMar>
              <w:top w:type="dxa" w:w="60"/>
              <w:left w:type="dxa" w:w="100"/>
              <w:bottom w:type="dxa" w:w="60"/>
              <w:right w:type="dxa" w:w="100"/>
            </w:tcMar>
          </w:tcPr>
          <w:p>
            <w:r>
              <w:rPr>
                <w:rFonts w:ascii="Calibri" w:cs="Calibri" w:eastAsia="Calibri" w:hAnsi="Calibri"/>
                <w:b/>
                <w:bCs/>
                <w:color w:val="FFFFFF"/>
                <w:sz w:val="20"/>
                <w:szCs w:val="20"/>
              </w:rPr>
              <w:t xml:space="preserve">Meeting 4 · Wednesday, September 23, 2026 · 45 minutes</w:t>
            </w:r>
          </w:p>
        </w:tc>
      </w:tr>
      <w:tr>
        <w:trPr>
          <w:trHeight w:val="560" w:hRule="atLeast"/>
        </w:trPr>
        <w:tc>
          <w:tcPr>
            <w:tcW w:type="dxa" w:w="1872"/>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Focus</w:t>
            </w:r>
          </w:p>
        </w:tc>
        <w:tc>
          <w:tcPr>
            <w:tcW w:type="dxa" w:w="7488"/>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Are we ready to begin the actual learning cycle?</w:t>
            </w:r>
          </w:p>
        </w:tc>
      </w:tr>
      <w:tr>
        <w:trPr>
          <w:trHeight w:val="560" w:hRule="atLeast"/>
        </w:trPr>
        <w:tc>
          <w:tcPr>
            <w:tcW w:type="dxa" w:w="1872"/>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Leave with</w:t>
            </w:r>
          </w:p>
        </w:tc>
        <w:tc>
          <w:tcPr>
            <w:tcW w:type="dxa" w:w="7488"/>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A finalized team foundation, confirmed complete against the Meetings 1–4 checklist.</w:t>
            </w:r>
          </w:p>
        </w:tc>
      </w:tr>
    </w:tbl>
    <w:p>
      <w:pPr>
        <w:spacing w:after="90" w:before="220"/>
      </w:pPr>
      <w:r>
        <w:rPr>
          <w:rFonts w:ascii="Calibri" w:cs="Calibri" w:eastAsia="Calibri" w:hAnsi="Calibri"/>
          <w:b/>
          <w:bCs/>
          <w:color w:val="9B2C2C"/>
          <w:sz w:val="26"/>
          <w:szCs w:val="26"/>
        </w:rPr>
        <w:t xml:space="preserve">Agenda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7956"/>
      </w:tblGrid>
      <w:tr>
        <w:trPr>
          <w:tblHeader/>
        </w:trPr>
        <w:tc>
          <w:tcPr>
            <w:tcW w:type="dxa" w:w="1404"/>
            <w:tcBorders>
              <w:top w:val="single" w:color="E2E2E2" w:sz="4"/>
              <w:left w:val="single" w:color="E2E2E2" w:sz="4"/>
              <w:bottom w:val="single" w:color="E2E2E2" w:sz="4"/>
              <w:right w:val="single" w:color="E2E2E2" w:sz="4"/>
            </w:tcBorders>
            <w:shd w:fill="9B2C2C" w:color="auto" w:val="clear"/>
            <w:tcMar>
              <w:top w:type="dxa" w:w="60"/>
              <w:left w:type="dxa" w:w="100"/>
              <w:bottom w:type="dxa" w:w="60"/>
              <w:right w:type="dxa" w:w="100"/>
            </w:tcMar>
          </w:tcPr>
          <w:p>
            <w:r>
              <w:rPr>
                <w:rFonts w:ascii="Calibri" w:cs="Calibri" w:eastAsia="Calibri" w:hAnsi="Calibri"/>
                <w:b/>
                <w:bCs/>
                <w:color w:val="FFFFFF"/>
                <w:sz w:val="20"/>
                <w:szCs w:val="20"/>
              </w:rPr>
              <w:t xml:space="preserve">Time</w:t>
            </w:r>
          </w:p>
        </w:tc>
        <w:tc>
          <w:tcPr>
            <w:tcW w:type="dxa" w:w="7956"/>
            <w:tcBorders>
              <w:top w:val="single" w:color="E2E2E2" w:sz="4"/>
              <w:left w:val="single" w:color="E2E2E2" w:sz="4"/>
              <w:bottom w:val="single" w:color="E2E2E2" w:sz="4"/>
              <w:right w:val="single" w:color="E2E2E2" w:sz="4"/>
            </w:tcBorders>
            <w:shd w:fill="9B2C2C"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the team does</w:t>
            </w:r>
          </w:p>
        </w:tc>
      </w:tr>
      <w:tr>
        <w:trPr>
          <w:trHeight w:val="560" w:hRule="atLeast"/>
        </w:trPr>
        <w:tc>
          <w:tcPr>
            <w:tcW w:type="dxa" w:w="1404"/>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0–5 min</w:t>
            </w:r>
          </w:p>
        </w:tc>
        <w:tc>
          <w:tcPr>
            <w:tcW w:type="dxa" w:w="7956"/>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Review norms and roles. Confirm who holds each role today and re-read your team norms together. Revisit anything unclear from Meetings 1–3. This pause is planned, not lost time.</w:t>
            </w:r>
          </w:p>
        </w:tc>
      </w:tr>
      <w:tr>
        <w:trPr>
          <w:trHeight w:val="560" w:hRule="atLeast"/>
        </w:trPr>
        <w:tc>
          <w:tcPr>
            <w:tcW w:type="dxa" w:w="1404"/>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5–25 min</w:t>
            </w:r>
          </w:p>
        </w:tc>
        <w:tc>
          <w:tcPr>
            <w:tcW w:type="dxa" w:w="7956"/>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Finalize your team foundation. Refine the roles and norms you drafted in Meeting 2, and complete the Holding Each Other Accountable worksheet if it was a first pass. This locks in how you'll work before content begins.</w:t>
            </w:r>
          </w:p>
        </w:tc>
      </w:tr>
      <w:tr>
        <w:trPr>
          <w:trHeight w:val="560" w:hRule="atLeast"/>
        </w:trPr>
        <w:tc>
          <w:tcPr>
            <w:tcW w:type="dxa" w:w="1404"/>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25–40 min</w:t>
            </w:r>
          </w:p>
        </w:tc>
        <w:tc>
          <w:tcPr>
            <w:tcW w:type="dxa" w:w="7956"/>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Work the readiness checklist. Using the checklist on the back of this agenda, check off every task from Meetings 1–4. Use any remaining time to close the gaps — finishing anything that isn't done yet is exactly what this buffer meeting is for.</w:t>
            </w:r>
          </w:p>
        </w:tc>
      </w:tr>
      <w:tr>
        <w:trPr>
          <w:trHeight w:val="560" w:hRule="atLeast"/>
        </w:trPr>
        <w:tc>
          <w:tcPr>
            <w:tcW w:type="dxa" w:w="1404"/>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40–45 min</w:t>
            </w:r>
          </w:p>
        </w:tc>
        <w:tc>
          <w:tcPr>
            <w:tcW w:type="dxa" w:w="7956"/>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Assign pre-work. Decide what standards and materials everyone brings to Meeting 5, where the standards work begins.</w:t>
            </w:r>
          </w:p>
        </w:tc>
      </w:tr>
    </w:tbl>
    <w:p>
      <w:pPr>
        <w:spacing w:before="140"/>
      </w:pPr>
      <w:r>
        <w:rPr>
          <w:rFonts w:ascii="Calibri" w:cs="Calibri" w:eastAsia="Calibri" w:hAnsi="Calibri"/>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99F" w:sz="8"/>
              <w:left w:val="single" w:color="E0A99F" w:sz="8"/>
              <w:bottom w:val="single" w:color="E0A99F" w:sz="8"/>
              <w:right w:val="single" w:color="E0A99F" w:sz="8"/>
            </w:tcBorders>
            <w:shd w:fill="FDF3EF" w:color="auto" w:val="clear"/>
            <w:tcMar>
              <w:top w:type="dxa" w:w="120"/>
              <w:left w:type="dxa" w:w="160"/>
              <w:bottom w:type="dxa" w:w="120"/>
              <w:right w:type="dxa" w:w="160"/>
            </w:tcMar>
          </w:tcPr>
          <w:p>
            <w:pPr>
              <w:spacing w:after="30"/>
            </w:pPr>
            <w:r>
              <w:rPr>
                <w:rFonts w:ascii="Calibri" w:cs="Calibri" w:eastAsia="Calibri" w:hAnsi="Calibri"/>
                <w:b/>
                <w:bCs/>
                <w:color w:val="9B2C2C"/>
                <w:sz w:val="24"/>
                <w:szCs w:val="24"/>
              </w:rPr>
              <w:t xml:space="preserve">Where we're going next → Meeting 5</w:t>
            </w:r>
          </w:p>
          <w:p>
            <w:r>
              <w:rPr>
                <w:rFonts w:ascii="Calibri" w:cs="Calibri" w:eastAsia="Calibri" w:hAnsi="Calibri"/>
                <w:color w:val="1F2933"/>
                <w:sz w:val="22"/>
                <w:szCs w:val="22"/>
              </w:rPr>
              <w:t xml:space="preserve">Identifying Essential Standards — PLC Question 1: What do we want students to learn?</w:t>
            </w:r>
          </w:p>
        </w:tc>
      </w:tr>
    </w:tbl>
    <w:p>
      <w:pPr>
        <w:pBdr>
          <w:top w:val="single" w:color="E2E2E2" w:sz="4" w:space="8"/>
        </w:pBdr>
        <w:spacing w:before="180"/>
      </w:pPr>
      <w:r>
        <w:rPr>
          <w:rFonts w:ascii="Calibri" w:cs="Calibri" w:eastAsia="Calibri" w:hAnsi="Calibri"/>
          <w:i/>
          <w:iCs/>
          <w:color w:val="64748B"/>
          <w:sz w:val="15"/>
          <w:szCs w:val="15"/>
        </w:rPr>
        <w:t xml:space="preserve">Elsinore Middle School Professional Learning Teams · 2026–27 · Meeting 4 agenda.</w:t>
      </w:r>
    </w:p>
    <w:sectPr>
      <w:pgSz w:w="12240" w:h="15840" w:orient="portrait"/>
      <w:pgMar w:top="90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99b42b83e4322fd1fa5b08918f52bc312df963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Reset and Readiness Check — Buffer meeting for culture, clarity, and questions.</dc:title>
  <dc:creator>Elsinore Middle School PLT</dc:creator>
  <cp:lastModifiedBy>Un-named</cp:lastModifiedBy>
  <cp:revision>1</cp:revision>
  <dcterms:created xsi:type="dcterms:W3CDTF">2026-08-29T22:43:07.792Z</dcterms:created>
  <dcterms:modified xsi:type="dcterms:W3CDTF">2026-08-29T22:43:07.797Z</dcterms:modified>
</cp:coreProperties>
</file>

<file path=docProps/custom.xml><?xml version="1.0" encoding="utf-8"?>
<Properties xmlns="http://schemas.openxmlformats.org/officeDocument/2006/custom-properties" xmlns:vt="http://schemas.openxmlformats.org/officeDocument/2006/docPropsVTypes"/>
</file>