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  <w:jc w:val="center"/>
      </w:pPr>
      <w:r>
        <w:drawing>
          <wp:inline distT="0" distB="0" distL="0" distR="0">
            <wp:extent cx="571500" cy="371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"/>
        <w:jc w:val="center"/>
      </w:pPr>
      <w:r>
        <w:rPr>
          <w:rFonts w:ascii="Calibri" w:cs="Calibri" w:eastAsia="Calibri" w:hAnsi="Calibri"/>
          <w:b/>
          <w:bCs/>
          <w:color w:val="9B2C2C"/>
          <w:sz w:val="15"/>
          <w:szCs w:val="15"/>
        </w:rPr>
        <w:t xml:space="preserve">ELSINORE MIDDLE SCHOOL · STAFF MEETING · PROFESSIONAL LEARNING TEAMS</w:t>
      </w:r>
    </w:p>
    <w:p>
      <w:pPr>
        <w:spacing w:after="20"/>
        <w:jc w:val="center"/>
      </w:pPr>
      <w:r>
        <w:rPr>
          <w:rFonts w:ascii="Calibri" w:cs="Calibri" w:eastAsia="Calibri" w:hAnsi="Calibri"/>
          <w:b/>
          <w:bCs/>
          <w:color w:val="1F2933"/>
          <w:sz w:val="40"/>
          <w:szCs w:val="40"/>
        </w:rPr>
        <w:t xml:space="preserve">Where We Are, Where We're Going</w:t>
      </w:r>
    </w:p>
    <w:p>
      <w:pPr>
        <w:spacing w:after="170"/>
        <w:jc w:val="center"/>
      </w:pPr>
      <w:r>
        <w:rPr>
          <w:rFonts w:ascii="Calibri" w:cs="Calibri" w:eastAsia="Calibri" w:hAnsi="Calibri"/>
          <w:i/>
          <w:iCs/>
          <w:color w:val="64748B"/>
          <w:sz w:val="23"/>
          <w:szCs w:val="23"/>
        </w:rPr>
        <w:t xml:space="preserve">A quick update on our PLT work — and what's ahead</w:t>
      </w:r>
    </w:p>
    <w:p>
      <w:pPr>
        <w:spacing w:after="90"/>
      </w:pPr>
      <w:r>
        <w:rPr>
          <w:rFonts w:ascii="Calibri" w:cs="Calibri" w:eastAsia="Calibri" w:hAnsi="Calibri"/>
          <w:color w:val="1F2933"/>
          <w:sz w:val="22"/>
          <w:szCs w:val="22"/>
        </w:rPr>
        <w:t xml:space="preserve">A quick reset (we covered the full “why” at the start of the year): a PLC isn't a meeting or a binder — it's how we work together so every student learns. Teams have built their foundation — roles, norms, and accountability. Here's what's next.</w:t>
      </w:r>
    </w:p>
    <w:p>
      <w:pPr>
        <w:spacing w:after="90" w:before="220"/>
      </w:pPr>
      <w:r>
        <w:rPr>
          <w:rFonts w:ascii="Calibri" w:cs="Calibri" w:eastAsia="Calibri" w:hAnsi="Calibri"/>
          <w:b/>
          <w:bCs/>
          <w:color w:val="9B2C2C"/>
          <w:sz w:val="26"/>
          <w:szCs w:val="26"/>
        </w:rPr>
        <w:t xml:space="preserve">Meetings 3 and 4: finishing the foundation</w:t>
      </w:r>
    </w:p>
    <w:p>
      <w:pPr>
        <w:spacing w:after="90"/>
      </w:pPr>
      <w:r>
        <w:rPr>
          <w:rFonts w:ascii="Calibri" w:cs="Calibri" w:eastAsia="Calibri" w:hAnsi="Calibri"/>
          <w:color w:val="1F2933"/>
          <w:sz w:val="22"/>
          <w:szCs w:val="22"/>
        </w:rPr>
        <w:t xml:space="preserve">Meeting 3 — baseline how your team works together on the Collaborative Team Rubric: a mirror, not a grade; it stays with your team and isn't reported up. Name one thing to grow. Meeting 4 — a reset to finish anything from Meetings 1–4 that isn't done yet, and make sure the team is ready to move into the first big chunk of the content work: Clarifying Essential Learning.</w:t>
      </w:r>
    </w:p>
    <w:p>
      <w:pPr>
        <w:spacing w:after="90" w:before="220"/>
      </w:pPr>
      <w:r>
        <w:rPr>
          <w:rFonts w:ascii="Calibri" w:cs="Calibri" w:eastAsia="Calibri" w:hAnsi="Calibri"/>
          <w:b/>
          <w:bCs/>
          <w:color w:val="9B2C2C"/>
          <w:sz w:val="26"/>
          <w:szCs w:val="26"/>
        </w:rPr>
        <w:t xml:space="preserve">Meeting 4 checklist — are we ready to move on?</w:t>
      </w:r>
    </w:p>
    <w:p>
      <w:pPr>
        <w:spacing w:after="90"/>
      </w:pPr>
      <w:r>
        <w:rPr>
          <w:rFonts w:ascii="Calibri" w:cs="Calibri" w:eastAsia="Calibri" w:hAnsi="Calibri"/>
          <w:color w:val="1F2933"/>
          <w:sz w:val="22"/>
          <w:szCs w:val="22"/>
        </w:rPr>
        <w:t xml:space="preserve">Before the standards work begins, our team has:</w:t>
      </w:r>
    </w:p>
    <w:p>
      <w:pPr>
        <w:spacing w:after="60"/>
      </w:pPr>
      <w:r>
        <w:rPr>
          <w:rFonts w:ascii="Calibri" w:cs="Calibri" w:eastAsia="Calibri" w:hAnsi="Calibri"/>
          <w:color w:val="9B2C2C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1F2933"/>
          <w:sz w:val="22"/>
          <w:szCs w:val="22"/>
        </w:rPr>
        <w:t xml:space="preserve">A shared understanding of why the PLC process matters — why we're doing this work (Meeting 1)</w:t>
      </w:r>
    </w:p>
    <w:p>
      <w:pPr>
        <w:spacing w:after="60"/>
      </w:pPr>
      <w:r>
        <w:rPr>
          <w:rFonts w:ascii="Calibri" w:cs="Calibri" w:eastAsia="Calibri" w:hAnsi="Calibri"/>
          <w:color w:val="9B2C2C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1F2933"/>
          <w:sz w:val="22"/>
          <w:szCs w:val="22"/>
        </w:rPr>
        <w:t xml:space="preserve">Team roles assigned, with backups (Meetings 2 &amp; 4)</w:t>
      </w:r>
    </w:p>
    <w:p>
      <w:pPr>
        <w:spacing w:after="60"/>
      </w:pPr>
      <w:r>
        <w:rPr>
          <w:rFonts w:ascii="Calibri" w:cs="Calibri" w:eastAsia="Calibri" w:hAnsi="Calibri"/>
          <w:color w:val="9B2C2C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1F2933"/>
          <w:sz w:val="22"/>
          <w:szCs w:val="22"/>
        </w:rPr>
        <w:t xml:space="preserve">Specific, observable “We will…” norms (Meeting 2)</w:t>
      </w:r>
    </w:p>
    <w:p>
      <w:pPr>
        <w:spacing w:after="60"/>
      </w:pPr>
      <w:r>
        <w:rPr>
          <w:rFonts w:ascii="Calibri" w:cs="Calibri" w:eastAsia="Calibri" w:hAnsi="Calibri"/>
          <w:color w:val="9B2C2C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1F2933"/>
          <w:sz w:val="22"/>
          <w:szCs w:val="22"/>
        </w:rPr>
        <w:t xml:space="preserve">An agreed way to hold each other accountable (Meetings 2 &amp; 4)</w:t>
      </w:r>
    </w:p>
    <w:p>
      <w:pPr>
        <w:spacing w:after="60"/>
      </w:pPr>
      <w:r>
        <w:rPr>
          <w:rFonts w:ascii="Calibri" w:cs="Calibri" w:eastAsia="Calibri" w:hAnsi="Calibri"/>
          <w:color w:val="9B2C2C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1F2933"/>
          <w:sz w:val="22"/>
          <w:szCs w:val="22"/>
        </w:rPr>
        <w:t xml:space="preserve">A Collaborative Team Rubric baseline and one growth focus (Meeting 3)</w:t>
      </w:r>
    </w:p>
    <w:p>
      <w:pPr>
        <w:spacing w:after="90" w:before="220"/>
      </w:pPr>
      <w:r>
        <w:rPr>
          <w:rFonts w:ascii="Calibri" w:cs="Calibri" w:eastAsia="Calibri" w:hAnsi="Calibri"/>
          <w:b/>
          <w:bCs/>
          <w:color w:val="9B2C2C"/>
          <w:sz w:val="26"/>
          <w:szCs w:val="26"/>
        </w:rPr>
        <w:t xml:space="preserve">Where we're going → Clarifying Essential Learning (Meetings 5–8)</w:t>
      </w:r>
    </w:p>
    <w:p>
      <w:pPr>
        <w:spacing w:after="90"/>
      </w:pPr>
      <w:r>
        <w:rPr>
          <w:rFonts w:ascii="Calibri" w:cs="Calibri" w:eastAsia="Calibri" w:hAnsi="Calibri"/>
          <w:color w:val="1F2933"/>
          <w:sz w:val="22"/>
          <w:szCs w:val="22"/>
        </w:rPr>
        <w:t xml:space="preserve">Critical Question 1 — what do we want students to learn? By Meeting 8, each team will have worked through: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6833"/>
      </w:tblGrid>
      <w:tr>
        <w:trPr>
          <w:tblHeader/>
        </w:trPr>
        <w:tc>
          <w:tcPr>
            <w:tcW w:type="dxa" w:w="2527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9B2C2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Meeting</w:t>
            </w:r>
          </w:p>
        </w:tc>
        <w:tc>
          <w:tcPr>
            <w:tcW w:type="dxa" w:w="6833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9B2C2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Focus</w:t>
            </w:r>
          </w:p>
        </w:tc>
      </w:tr>
      <w:tr>
        <w:trPr>
          <w:trHeight w:val="560" w:hRule="atLeast"/>
        </w:trPr>
        <w:tc>
          <w:tcPr>
            <w:tcW w:type="dxa" w:w="2527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Meeting 5 · Oct 7</w:t>
            </w:r>
          </w:p>
        </w:tc>
        <w:tc>
          <w:tcPr>
            <w:tcW w:type="dxa" w:w="6833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Identify the one essential standard to guarantee this cycle.</w:t>
            </w:r>
          </w:p>
        </w:tc>
      </w:tr>
      <w:tr>
        <w:trPr>
          <w:trHeight w:val="560" w:hRule="atLeast"/>
        </w:trPr>
        <w:tc>
          <w:tcPr>
            <w:tcW w:type="dxa" w:w="2527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Meeting 6 · Oct 21</w:t>
            </w:r>
          </w:p>
        </w:tc>
        <w:tc>
          <w:tcPr>
            <w:tcW w:type="dxa" w:w="6833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Deconstruct that standard into clear learning targets.</w:t>
            </w:r>
          </w:p>
        </w:tc>
      </w:tr>
      <w:tr>
        <w:trPr>
          <w:trHeight w:val="560" w:hRule="atLeast"/>
        </w:trPr>
        <w:tc>
          <w:tcPr>
            <w:tcW w:type="dxa" w:w="2527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Meeting 7 · Nov 4</w:t>
            </w:r>
          </w:p>
        </w:tc>
        <w:tc>
          <w:tcPr>
            <w:tcW w:type="dxa" w:w="6833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Define proficiency — what “learned it” actually looks like.</w:t>
            </w:r>
          </w:p>
        </w:tc>
      </w:tr>
      <w:tr>
        <w:trPr>
          <w:trHeight w:val="560" w:hRule="atLeast"/>
        </w:trPr>
        <w:tc>
          <w:tcPr>
            <w:tcW w:type="dxa" w:w="2527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Meeting 8 · Nov 18</w:t>
            </w:r>
          </w:p>
        </w:tc>
        <w:tc>
          <w:tcPr>
            <w:tcW w:type="dxa" w:w="6833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Buffer &amp; calibration — finalize the targets and proficiency.</w:t>
            </w:r>
          </w:p>
        </w:tc>
      </w:tr>
    </w:tbl>
    <w:p>
      <w:pPr>
        <w:pBdr>
          <w:top w:val="single" w:color="E2E2E2" w:sz="4" w:space="8"/>
        </w:pBdr>
        <w:spacing w:before="180"/>
      </w:pPr>
      <w:r>
        <w:rPr>
          <w:rFonts w:ascii="Calibri" w:cs="Calibri" w:eastAsia="Calibri" w:hAnsi="Calibri"/>
          <w:i/>
          <w:iCs/>
          <w:color w:val="64748B"/>
          <w:sz w:val="15"/>
          <w:szCs w:val="15"/>
        </w:rPr>
        <w:t xml:space="preserve">Elsinore Middle School Professional Learning Teams · 2026–27 · Staff update.</w:t>
      </w:r>
    </w:p>
    <w:sectPr>
      <w:pgSz w:w="12240" w:h="15840" w:orient="portrait"/>
      <w:pgMar w:top="900" w:right="1440" w:bottom="9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3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99b42b83e4322fd1fa5b08918f52bc312df9639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Where We Are, Where We're Going — A quick update on our PLT work — and what's ahead</dc:title>
  <dc:creator>Elsinore Middle School PLT</dc:creator>
  <cp:lastModifiedBy>Un-named</cp:lastModifiedBy>
  <cp:revision>1</cp:revision>
  <dcterms:created xsi:type="dcterms:W3CDTF">2026-08-29T22:43:18.773Z</dcterms:created>
  <dcterms:modified xsi:type="dcterms:W3CDTF">2026-08-29T22:43:18.774Z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