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9B2C2C"/>
          <w:spacing w:val="8"/>
          <w:sz w:val="16"/>
          <w:szCs w:val="16"/>
        </w:rPr>
        <w:t xml:space="preserve">PLT EMPATHY INTERVIEWS · SYNTHESIS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What We Heard</w:t>
      </w:r>
    </w:p>
    <w:p>
      <w:pPr>
        <w:pBdr>
          <w:bottom w:val="single" w:color="9B2C2C" w:sz="14" w:space="6"/>
        </w:pBdr>
        <w:spacing w:after="12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Turning the interviews into a short list of needs — and a plan to respond.</w:t>
      </w:r>
    </w:p>
    <w:p>
      <w:pPr>
        <w:spacing w:after="12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After your interviews, group what you heard into a handful of need themes. Look for patterns that show up across teams, not one-off comments — then decide how each need gets met in the phase ahead. A few common themes are seeded below; cross out, rename, or add your own.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9B2C2C"/>
          <w:sz w:val="25"/>
          <w:szCs w:val="25"/>
        </w:rPr>
        <w:t xml:space="preserve">Need themes</w:t>
      </w:r>
    </w:p>
    <w:tbl>
      <w:tblPr>
        <w:tblW w:type="dxa" w:w="936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59"/>
        <w:gridCol w:w="4118"/>
        <w:gridCol w:w="3182"/>
      </w:tblGrid>
      <w:tr>
        <w:trPr>
          <w:tblHeader/>
        </w:trPr>
        <w:tc>
          <w:tcPr>
            <w:tcW w:type="dxa" w:w="2059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Need theme</w:t>
            </w:r>
          </w:p>
        </w:tc>
        <w:tc>
          <w:tcPr>
            <w:tcW w:type="dxa" w:w="4118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we heard (patterns, in their words)</w:t>
            </w:r>
          </w:p>
        </w:tc>
        <w:tc>
          <w:tcPr>
            <w:tcW w:type="dxa" w:w="3182"/>
            <w:shd w:fill="9B2C2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we'll respond in Meetings 5–8</w:t>
            </w:r>
          </w:p>
        </w:tc>
      </w:tr>
      <w:tr>
        <w:trPr>
          <w:trHeight w:val="1080" w:hRule="atLeast"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Time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Clarity on standards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Examples &amp; models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Help using data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>Safety to say "I don't know"</w:t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  <w:tr>
        <w:trPr>
          <w:trHeight w:val="1080" w:hRule="atLeast"/>
        </w:trPr>
        <w:tc>
          <w:tcPr>
            <w:tcW w:type="dxa" w:w="2059"/>
            <w:shd w:fill="F7ECE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4118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  <w:tc>
          <w:tcPr>
            <w:tcW w:type="dxa" w:w="3182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1"/>
                <w:szCs w:val="21"/>
              </w:rPr>
              <w:t xml:space="preserve"/>
            </w:r>
          </w:p>
        </w:tc>
      </w:tr>
    </w:tbl>
    <w:p>
      <w:pPr>
        <w:shd w:fill="F7ECEC" w:color="auto" w:val="clear"/>
        <w:spacing w:after="120" w:before="120"/>
      </w:pPr>
      <w:r>
        <w:rPr>
          <w:rFonts w:ascii="Calibri" w:cs="Calibri" w:eastAsia="Calibri" w:hAnsi="Calibri"/>
          <w:color w:val="1F2933"/>
          <w:sz w:val="21"/>
          <w:szCs w:val="21"/>
        </w:rPr>
        <w:t xml:space="preserve">Name it back to teams: "Here's what you told us you need — and here's how we're building it into the next phase." That's what turns listening into trust.</w:t>
      </w:r>
    </w:p>
    <w:p>
      <w:pPr>
        <w:pBdr>
          <w:top w:val="single" w:color="E5E7EB" w:sz="4" w:space="6"/>
        </w:pBdr>
        <w:spacing w:before="20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Elsinore Middle School Professional Learning Teams · 2026–27 · Empathy interview synthesis.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2026-09-10T13:54:22.126Z</dcterms:created>
  <dcterms:modified xsi:type="dcterms:W3CDTF">2026-09-10T13:54:22.127Z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