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38150"/>
                    </a:xfrm>
                    <a:prstGeom prst="rect">
                      <a:avLst/>
                    </a:prstGeom>
                  </pic:spPr>
                </pic:pic>
              </a:graphicData>
            </a:graphic>
          </wp:inline>
        </w:drawing>
      </w:r>
    </w:p>
    <w:p>
      <w:pPr>
        <w:spacing w:after="20"/>
      </w:pPr>
      <w:r>
        <w:rPr>
          <w:rFonts w:ascii="Calibri" w:cs="Calibri" w:eastAsia="Calibri" w:hAnsi="Calibri"/>
          <w:b/>
          <w:bCs/>
          <w:color w:val="9B2C2C"/>
          <w:spacing w:val="8"/>
          <w:sz w:val="16"/>
          <w:szCs w:val="16"/>
        </w:rPr>
        <w:t xml:space="preserve">ELSINORE MIDDLE SCHOOL · MEETING 4 OF 18 · AGENDA</w:t>
      </w:r>
    </w:p>
    <w:p>
      <w:pPr>
        <w:spacing w:after="20"/>
      </w:pPr>
      <w:r>
        <w:rPr>
          <w:rFonts w:ascii="Calibri" w:cs="Calibri" w:eastAsia="Calibri" w:hAnsi="Calibri"/>
          <w:b/>
          <w:bCs/>
          <w:color w:val="1F2933"/>
          <w:sz w:val="40"/>
          <w:szCs w:val="40"/>
        </w:rPr>
        <w:t xml:space="preserve">Reset and Readiness Check</w:t>
      </w:r>
    </w:p>
    <w:p>
      <w:pPr>
        <w:pBdr>
          <w:bottom w:val="single" w:color="9B2C2C" w:sz="14" w:space="6"/>
        </w:pBdr>
        <w:spacing w:after="120"/>
      </w:pPr>
      <w:r>
        <w:rPr>
          <w:rFonts w:ascii="Calibri" w:cs="Calibri" w:eastAsia="Calibri" w:hAnsi="Calibri"/>
          <w:color w:val="64748B"/>
          <w:sz w:val="22"/>
          <w:szCs w:val="22"/>
        </w:rPr>
        <w:t xml:space="preserve">Buffer meeting for culture, clarity, and questions.</w:t>
      </w:r>
    </w:p>
    <w:p>
      <w:pPr>
        <w:keepNext/>
        <w:spacing w:after="80" w:before="200"/>
      </w:pPr>
      <w:r>
        <w:rPr>
          <w:rFonts w:ascii="Calibri" w:cs="Calibri" w:eastAsia="Calibri" w:hAnsi="Calibri"/>
          <w:b/>
          <w:bCs/>
          <w:color w:val="9B2C2C"/>
          <w:sz w:val="25"/>
          <w:szCs w:val="25"/>
        </w:rPr>
        <w:t xml:space="preserve">Why this meeting matters</w:t>
      </w:r>
    </w:p>
    <w:p>
      <w:pPr>
        <w:spacing w:after="120"/>
      </w:pPr>
      <w:r>
        <w:rPr>
          <w:rFonts w:ascii="Calibri" w:cs="Calibri" w:eastAsia="Calibri" w:hAnsi="Calibri"/>
          <w:color w:val="1F2933"/>
          <w:sz w:val="22"/>
          <w:szCs w:val="22"/>
        </w:rPr>
        <w:t xml:space="preserve">This is the first intentional buffer. Some teams will still be confused, skeptical, or waiting to be told exactly what to do. This meeting prevents teams from moving forward without clarity.</w:t>
      </w:r>
    </w:p>
    <w:p>
      <w:pPr>
        <w:spacing w:after="120"/>
      </w:pPr>
      <w:r>
        <w:rPr>
          <w:rFonts w:ascii="Calibri" w:cs="Calibri" w:eastAsia="Calibri" w:hAnsi="Calibri"/>
          <w:color w:val="1F2933"/>
          <w:sz w:val="22"/>
          <w:szCs w:val="22"/>
        </w:rPr>
        <w:t xml:space="preserve">It's also where the Meeting 2 foundation gets finished: refine your roles and norms and complete the accountability worksheet, so the way your team works is settled before the learning cycle begins. The four critical questions aren't self-assessed here — teams meet them as the cycle unfolds and give the honest read at the end of the year (Meeting 18).</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059"/>
        <w:gridCol w:w="7301"/>
      </w:tblGrid>
      <w:tr>
        <w:trPr>
          <w:tblHeader/>
        </w:trPr>
        <w:tc>
          <w:tcPr>
            <w:tcW w:type="dxa" w:w="2059"/>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
            </w:r>
          </w:p>
        </w:tc>
        <w:tc>
          <w:tcPr>
            <w:tcW w:type="dxa" w:w="7301"/>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Meeting 4 · Wednesday, September 23, 2026 · 45 minutes</w:t>
            </w:r>
          </w:p>
        </w:tc>
      </w:tr>
      <w:tr>
        <w:trPr>
          <w:cantSplit/>
        </w:trPr>
        <w:tc>
          <w:tcPr>
            <w:tcW w:type="dxa" w:w="2059"/>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Focus</w:t>
            </w:r>
          </w:p>
        </w:tc>
        <w:tc>
          <w:tcPr>
            <w:tcW w:type="dxa" w:w="7301"/>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Are we ready to begin the actual learning cycle?</w:t>
            </w:r>
          </w:p>
        </w:tc>
      </w:tr>
      <w:tr>
        <w:trPr>
          <w:cantSplit/>
        </w:trPr>
        <w:tc>
          <w:tcPr>
            <w:tcW w:type="dxa" w:w="2059"/>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Leave with</w:t>
            </w:r>
          </w:p>
        </w:tc>
        <w:tc>
          <w:tcPr>
            <w:tcW w:type="dxa" w:w="7301"/>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A finalized team foundation, confirmed complete against the Meetings 1–4 checklist.</w:t>
            </w:r>
          </w:p>
        </w:tc>
      </w:tr>
    </w:tbl>
    <w:p>
      <w:pPr>
        <w:keepNext/>
        <w:spacing w:after="80" w:before="200"/>
      </w:pPr>
      <w:r>
        <w:rPr>
          <w:rFonts w:ascii="Calibri" w:cs="Calibri" w:eastAsia="Calibri" w:hAnsi="Calibri"/>
          <w:b/>
          <w:bCs/>
          <w:color w:val="9B2C2C"/>
          <w:sz w:val="25"/>
          <w:szCs w:val="25"/>
        </w:rPr>
        <w:t xml:space="preserve">Agenda — step by step</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404"/>
        <w:gridCol w:w="7956"/>
      </w:tblGrid>
      <w:tr>
        <w:trPr>
          <w:tblHeader/>
        </w:trPr>
        <w:tc>
          <w:tcPr>
            <w:tcW w:type="dxa" w:w="1404"/>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Time</w:t>
            </w:r>
          </w:p>
        </w:tc>
        <w:tc>
          <w:tcPr>
            <w:tcW w:type="dxa" w:w="7956"/>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What the team does</w:t>
            </w:r>
          </w:p>
        </w:tc>
      </w:tr>
      <w:tr>
        <w:trPr>
          <w:cantSplit/>
        </w:trPr>
        <w:tc>
          <w:tcPr>
            <w:tcW w:type="dxa" w:w="140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0–5 min</w:t>
            </w:r>
          </w:p>
        </w:tc>
        <w:tc>
          <w:tcPr>
            <w:tcW w:type="dxa" w:w="7956"/>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Review norms and roles. Confirm who holds each role today and re-read your team norms together. Revisit anything unclear from Meetings 1–3 — this pause is planned, not lost time.</w:t>
            </w:r>
          </w:p>
        </w:tc>
      </w:tr>
      <w:tr>
        <w:trPr>
          <w:cantSplit/>
        </w:trPr>
        <w:tc>
          <w:tcPr>
            <w:tcW w:type="dxa" w:w="140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5–25 min</w:t>
            </w:r>
          </w:p>
        </w:tc>
        <w:tc>
          <w:tcPr>
            <w:tcW w:type="dxa" w:w="7956"/>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Finalize your team foundation. Refine the roles and norms you drafted in Meeting 2, and complete the Holding Each Other Accountable worksheet if it was a first pass. This locks in how you'll work before content begins.</w:t>
            </w:r>
          </w:p>
        </w:tc>
      </w:tr>
      <w:tr>
        <w:trPr>
          <w:cantSplit/>
        </w:trPr>
        <w:tc>
          <w:tcPr>
            <w:tcW w:type="dxa" w:w="140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25–40 min</w:t>
            </w:r>
          </w:p>
        </w:tc>
        <w:tc>
          <w:tcPr>
            <w:tcW w:type="dxa" w:w="7956"/>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Work the readiness checklist. Using the checklist on the back of this agenda, check off every task from Meetings 1–4. Use any remaining time to close the gaps — finishing anything that isn't done yet is exactly what this buffer is for.</w:t>
            </w:r>
          </w:p>
        </w:tc>
      </w:tr>
      <w:tr>
        <w:trPr>
          <w:cantSplit/>
        </w:trPr>
        <w:tc>
          <w:tcPr>
            <w:tcW w:type="dxa" w:w="140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40–45 min</w:t>
            </w:r>
          </w:p>
        </w:tc>
        <w:tc>
          <w:tcPr>
            <w:tcW w:type="dxa" w:w="7956"/>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Assign pre-work. Decide what standards and materials everyone brings to Meeting 5, where the standards work begins.</w:t>
            </w:r>
          </w:p>
        </w:tc>
      </w:tr>
    </w:tbl>
    <w:p>
      <w:pPr>
        <w:shd w:fill="F7ECEC" w:color="auto" w:val="clear"/>
        <w:spacing w:after="120" w:before="120"/>
      </w:pPr>
      <w:r>
        <w:rPr>
          <w:rFonts w:ascii="Calibri" w:cs="Calibri" w:eastAsia="Calibri" w:hAnsi="Calibri"/>
          <w:color w:val="1F2933"/>
          <w:sz w:val="21"/>
          <w:szCs w:val="21"/>
        </w:rPr>
        <w:t xml:space="preserve">Where we're going next → Meeting 5: Identifying Essential Standards. You'll choose the one essential standard your team will guarantee this cycle (PLC Question 1: What do we want students to learn?).</w:t>
      </w:r>
    </w:p>
    <w:p>
      <w:pPr>
        <w:pageBreakBefore/>
      </w:pPr>
    </w:p>
    <w:p>
      <w:pPr>
        <w:keepNext/>
        <w:spacing w:after="80" w:before="200"/>
      </w:pPr>
      <w:r>
        <w:rPr>
          <w:rFonts w:ascii="Calibri" w:cs="Calibri" w:eastAsia="Calibri" w:hAnsi="Calibri"/>
          <w:b/>
          <w:bCs/>
          <w:color w:val="9B2C2C"/>
          <w:sz w:val="25"/>
          <w:szCs w:val="25"/>
        </w:rPr>
        <w:t xml:space="preserve">Meeting 4 readiness checklist — are we ready to move on?</w:t>
      </w:r>
    </w:p>
    <w:p>
      <w:pPr>
        <w:spacing w:after="120"/>
      </w:pPr>
      <w:r>
        <w:rPr>
          <w:rFonts w:ascii="Calibri" w:cs="Calibri" w:eastAsia="Calibri" w:hAnsi="Calibri"/>
          <w:color w:val="1F2933"/>
          <w:sz w:val="22"/>
          <w:szCs w:val="22"/>
        </w:rPr>
        <w:t xml:space="preserve">Complete this before the standards work begins at Meeting 5. Meeting 4 is a reset — a chance to finish anything from Meetings 1–4 that isn't done yet and make sure the team is ready for the first big chunk of content work: Clarifying Essential Learning.</w:t>
      </w:r>
    </w:p>
    <w:p>
      <w:pPr>
        <w:spacing w:after="120"/>
      </w:pPr>
      <w:r>
        <w:rPr>
          <w:rFonts w:ascii="Calibri" w:cs="Calibri" w:eastAsia="Calibri" w:hAnsi="Calibri"/>
          <w:b/>
          <w:bCs/>
          <w:color w:val="1F2933"/>
          <w:sz w:val="22"/>
          <w:szCs w:val="22"/>
        </w:rPr>
        <w:t xml:space="preserve">Before the standards work begins, our team has:</w:t>
      </w:r>
    </w:p>
    <w:p>
      <w:pPr>
        <w:spacing w:after="120"/>
      </w:pPr>
      <w:r>
        <w:rPr>
          <w:rFonts w:ascii="Calibri" w:cs="Calibri" w:eastAsia="Calibri" w:hAnsi="Calibri"/>
          <w:color w:val="1F2933"/>
          <w:sz w:val="24"/>
          <w:szCs w:val="24"/>
        </w:rPr>
        <w:t xml:space="preserve">☐   </w:t>
      </w:r>
      <w:r>
        <w:rPr>
          <w:rFonts w:ascii="Calibri" w:cs="Calibri" w:eastAsia="Calibri" w:hAnsi="Calibri"/>
          <w:b/>
          <w:bCs/>
          <w:color w:val="1F2933"/>
          <w:sz w:val="22"/>
          <w:szCs w:val="22"/>
        </w:rPr>
        <w:t xml:space="preserve">A shared understanding of why the PLC process matters — why we're doing this work (Meeting 1)</w:t>
      </w:r>
    </w:p>
    <w:p>
      <w:pPr>
        <w:spacing w:after="120"/>
      </w:pPr>
      <w:r>
        <w:rPr>
          <w:rFonts w:ascii="Calibri" w:cs="Calibri" w:eastAsia="Calibri" w:hAnsi="Calibri"/>
          <w:color w:val="1F2933"/>
          <w:sz w:val="24"/>
          <w:szCs w:val="24"/>
        </w:rPr>
        <w:t xml:space="preserve">☐   </w:t>
      </w:r>
      <w:r>
        <w:rPr>
          <w:rFonts w:ascii="Calibri" w:cs="Calibri" w:eastAsia="Calibri" w:hAnsi="Calibri"/>
          <w:b/>
          <w:bCs/>
          <w:color w:val="1F2933"/>
          <w:sz w:val="22"/>
          <w:szCs w:val="22"/>
        </w:rPr>
        <w:t xml:space="preserve">Team roles assigned, with backups (Meetings 2 &amp; 4)</w:t>
      </w:r>
    </w:p>
    <w:p>
      <w:pPr>
        <w:spacing w:after="120"/>
      </w:pPr>
      <w:r>
        <w:rPr>
          <w:rFonts w:ascii="Calibri" w:cs="Calibri" w:eastAsia="Calibri" w:hAnsi="Calibri"/>
          <w:color w:val="1F2933"/>
          <w:sz w:val="24"/>
          <w:szCs w:val="24"/>
        </w:rPr>
        <w:t xml:space="preserve">☐   </w:t>
      </w:r>
      <w:r>
        <w:rPr>
          <w:rFonts w:ascii="Calibri" w:cs="Calibri" w:eastAsia="Calibri" w:hAnsi="Calibri"/>
          <w:b/>
          <w:bCs/>
          <w:color w:val="1F2933"/>
          <w:sz w:val="22"/>
          <w:szCs w:val="22"/>
        </w:rPr>
        <w:t xml:space="preserve">Specific, observable “We will…” norms (Meeting 2)</w:t>
      </w:r>
    </w:p>
    <w:p>
      <w:pPr>
        <w:spacing w:after="120"/>
      </w:pPr>
      <w:r>
        <w:rPr>
          <w:rFonts w:ascii="Calibri" w:cs="Calibri" w:eastAsia="Calibri" w:hAnsi="Calibri"/>
          <w:color w:val="1F2933"/>
          <w:sz w:val="24"/>
          <w:szCs w:val="24"/>
        </w:rPr>
        <w:t xml:space="preserve">☐   </w:t>
      </w:r>
      <w:r>
        <w:rPr>
          <w:rFonts w:ascii="Calibri" w:cs="Calibri" w:eastAsia="Calibri" w:hAnsi="Calibri"/>
          <w:b/>
          <w:bCs/>
          <w:color w:val="1F2933"/>
          <w:sz w:val="22"/>
          <w:szCs w:val="22"/>
        </w:rPr>
        <w:t xml:space="preserve">An agreed way to hold each other accountable (Meetings 2 &amp; 4)</w:t>
      </w:r>
    </w:p>
    <w:p>
      <w:pPr>
        <w:spacing w:after="120"/>
      </w:pPr>
      <w:r>
        <w:rPr>
          <w:rFonts w:ascii="Calibri" w:cs="Calibri" w:eastAsia="Calibri" w:hAnsi="Calibri"/>
          <w:color w:val="1F2933"/>
          <w:sz w:val="24"/>
          <w:szCs w:val="24"/>
        </w:rPr>
        <w:t xml:space="preserve">☐   </w:t>
      </w:r>
      <w:r>
        <w:rPr>
          <w:rFonts w:ascii="Calibri" w:cs="Calibri" w:eastAsia="Calibri" w:hAnsi="Calibri"/>
          <w:b/>
          <w:bCs/>
          <w:color w:val="1F2933"/>
          <w:sz w:val="22"/>
          <w:szCs w:val="22"/>
        </w:rPr>
        <w:t xml:space="preserve">A Collaborative Team Rubric baseline and one growth focus (Meeting 3)</w:t>
      </w:r>
    </w:p>
    <w:p>
      <w:pPr>
        <w:shd w:fill="F7ECEC" w:color="auto" w:val="clear"/>
        <w:spacing w:after="120" w:before="120"/>
      </w:pPr>
      <w:r>
        <w:rPr>
          <w:rFonts w:ascii="Calibri" w:cs="Calibri" w:eastAsia="Calibri" w:hAnsi="Calibri"/>
          <w:color w:val="1F2933"/>
          <w:sz w:val="21"/>
          <w:szCs w:val="21"/>
        </w:rPr>
        <w:t xml:space="preserve">If every box is checked, the team is ready to begin Clarifying Essential Learning at Meeting 5. If not, use the rest of Meeting 4 to close the gap — that's what this buffer meeting is for.</w:t>
      </w:r>
    </w:p>
    <w:p>
      <w:pPr>
        <w:pBdr>
          <w:top w:val="single" w:color="E5E7EB" w:sz="4" w:space="6"/>
        </w:pBdr>
        <w:spacing w:before="200"/>
      </w:pPr>
      <w:r>
        <w:rPr>
          <w:rFonts w:ascii="Calibri" w:cs="Calibri" w:eastAsia="Calibri" w:hAnsi="Calibri"/>
          <w:i/>
          <w:iCs/>
          <w:color w:val="64748B"/>
          <w:sz w:val="18"/>
          <w:szCs w:val="18"/>
        </w:rPr>
        <w:t xml:space="preserve">Elsinore Middle School Professional Learning Teams · 2026–27 · Meeting 4 agenda + readiness checklist.</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9b42b83e4322fd1fa5b08918f52bc312df9639.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2026-09-23T02:01:42.696Z</dcterms:created>
  <dcterms:modified xsi:type="dcterms:W3CDTF">2026-09-23T02:01:42.696Z</dcterms:modified>
</cp:coreProperties>
</file>

<file path=docProps/custom.xml><?xml version="1.0" encoding="utf-8"?>
<Properties xmlns="http://schemas.openxmlformats.org/officeDocument/2006/custom-properties" xmlns:vt="http://schemas.openxmlformats.org/officeDocument/2006/docPropsVTypes"/>
</file>