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C54F2"/>
          <w:spacing w:val="200"/>
          <w:sz w:val="14"/>
          <w:szCs w:val="14"/>
        </w:rPr>
        <w:t xml:space="preserve">STRYDEOS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B2545"/>
          <w:sz w:val="40"/>
          <w:szCs w:val="40"/>
        </w:rPr>
        <w:t xml:space="preserve">Compliance &amp; Security Checklist</w:t>
      </w:r>
    </w:p>
    <w:p>
      <w:pPr>
        <w:spacing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Handling, GDPR, Encryption &amp; Audit Logging</w:t>
      </w:r>
    </w:p>
    <w:p>
      <w:pPr>
        <w:pBdr>
          <w:bottom w:val="single" w:color="1C54F2" w:sz="6" w:space="8"/>
        </w:pBdr>
        <w:spacing w:after="60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Version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March 2026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Review Frequency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Annually or upon material change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Owner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Data Protection Officer, StrydeOS Ltd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single" w:color="E2DFDA" w:sz="1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Internal / Client-Facing</w:t>
            </w:r>
          </w:p>
        </w:tc>
      </w:tr>
    </w:tbl>
    <w:p>
      <w:pPr>
        <w:pStyle w:val="Heading1"/>
      </w:pPr>
      <w:r>
        <w:t xml:space="preserve">1. GDPR Compliance</w:t>
      </w:r>
    </w:p>
    <w:p>
      <w:pPr>
        <w:spacing w:after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StrydeOS processes personal data under UK GDPR (retained EU GDPR) and the Data Protection Act 2018. All processing activities are documented and lawful bases established for each data category.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Lawful basis documented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Legitimate interests (Art 6(1)(f)) for analytics; contractual necessity (Art 6(1)(b)) for service delivery; explicit consent for special category health data (Art 9(2)(a))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Privacy notice published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Public-facing privacy policy at strydeos.com/privacy; in-app notice at first login; updated March 2026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Data Protection Impact Assessment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DPIA completed for all three modules (Ava, Pulse, Intelligence); reviewed annually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Data Processing Agreements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DPAs signed with all sub-processors (Google Cloud, Retell AI, ElevenLabs, PMS providers)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Data subject rights process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Formal DSAR workflow via hello@strydeos.com; 30-day fulfilment SLA; automated request tracking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Records of Processing Activities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Article 30 register maintained; updated quarterly; covers all data flows across Ava, Pulse, Intelligence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ICO registration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Registration submitted; reference number pending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DPO appointed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Named DPO with direct reporting line to board; contactable at hello@strydeos.com</w:t>
            </w:r>
          </w:p>
        </w:tc>
      </w:tr>
    </w:tbl>
    <w:p>
      <w:pPr>
        <w:pStyle w:val="Heading1"/>
      </w:pPr>
      <w:r>
        <w:t xml:space="preserve">2. Data Residency &amp; Hosting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All production data remains within UK borders. No clinical or personally identifiable data is transferred internationally.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UK data residency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Google Cloud europe-west2 (London) region exclusively; no cross-border transfers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Cloud provider certification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Google Cloud: ISO 27001, ISO 27017, ISO 27018, SOC 2 Type II certified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Uptime SLA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99.95% uptime SLA via Google Cloud; automatic failover within UK region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Backup &amp; disaster recovery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Daily automated backups; encrypted; stored in UK; 30-day retention; tested quarterly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Sub-processor data residency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sub-processors contractually bound to UK/EU data residency</w:t>
            </w:r>
          </w:p>
        </w:tc>
      </w:tr>
    </w:tbl>
    <w:p>
      <w:pPr>
        <w:pStyle w:val="Heading1"/>
      </w:pPr>
      <w:r>
        <w:t xml:space="preserve">3. Encryption Standards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End-to-end encryption protects data at every stage of its lifecycle.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Encryption at rest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AES-256 encryption via Google Cloud; Google-managed keys for Firestore and Cloud Storage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Encryption in transit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TLS 1.3 enforced on all client-server connections; HSTS enabled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API encryption (third-party)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TLS 1.2 minimum on all PMS API integrations (WriteUpp, Cliniko, Physitrack); certificate validation enforced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Backup encryption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AES-256 encrypted; same standard as production; UK region only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Key management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Google Cloud KMS; automatic key rotation; access restricted to infrastructure team</w:t>
            </w:r>
          </w:p>
        </w:tc>
      </w:tr>
    </w:tbl>
    <w:p>
      <w:pPr>
        <w:pStyle w:val="Heading1"/>
      </w:pPr>
      <w:r>
        <w:t xml:space="preserve">4. Audit Logging &amp; Monitoring</w:t>
      </w:r>
    </w:p>
    <w:p>
      <w:pPr>
        <w:spacing w:after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Comprehensive, immutable audit trails for all data access and modifications.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Data access logging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read/write operations logged with user ID, timestamp, IP, and action type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Immutable audit trail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Audit logs stored separately from application data; append-only; tamper-evident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Log retention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24-month retention for audit logs; 12-month retention for system logs containing PII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Internal access monitoring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StrydeOS staff access to production data logged; quarterly access review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Breach detection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Automated anomaly detection on authentication events; alerting via Google Cloud operations suite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Incident response plan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Formal breach response procedure; ICO notification within 72 hours; data subject notification without undue delay</w:t>
            </w:r>
          </w:p>
        </w:tc>
      </w:tr>
    </w:tbl>
    <w:p>
      <w:pPr>
        <w:pStyle w:val="Heading1"/>
      </w:pPr>
      <w:r>
        <w:t xml:space="preserve">5. Access Control &amp; Authentication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Role-based access control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Three tiers: Practice Owner, Clinician, Support; principle of least privilege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Multi-factor authentication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Optional MFA for practice users; mandatory MFA for all StrydeOS internal staff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Session management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Automatic session timeout after inactivity; secure token handling via Firebase Auth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Password policy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Minimum 10 characters; complexity requirements enforced; breached password detection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Third-party access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persistent third-party access; time-limited support sessions with full logging</w:t>
            </w:r>
          </w:p>
        </w:tc>
      </w:tr>
    </w:tbl>
    <w:p>
      <w:pPr>
        <w:pStyle w:val="Heading1"/>
      </w:pPr>
      <w:r>
        <w:t xml:space="preserve">6. Data Retention &amp; Deletion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Retention policy documented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Data retained for contract duration + 90 days; documented in privacy policy and DPA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Deletion on termination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personal data permanently deleted within 90 days of account cancellation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Right to erasure process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Immediate deletion available on written request to hello@strydeos.com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PII log rotation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System logs containing PII automatically purged after 12 months</w:t>
            </w:r>
          </w:p>
        </w:tc>
      </w:tr>
      <w:tr>
        <w:tc>
          <w:tcPr>
            <w:tcW w:type="dxa" w:w="38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Data export (portability)</w:t>
            </w:r>
          </w:p>
        </w:tc>
        <w:tc>
          <w:tcPr>
            <w:tcW w:type="dxa" w:w="160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Compliant</w:t>
            </w:r>
          </w:p>
        </w:tc>
        <w:tc>
          <w:tcPr>
            <w:tcW w:type="dxa" w:w="3960"/>
            <w:tcBorders>
              <w:top w:val="single" w:color="E2DFDA" w:sz="1"/>
              <w:left w:val="single" w:color="E2DFDA" w:sz="1"/>
              <w:bottom w:val="single" w:color="E2DFDA" w:sz="1"/>
              <w:right w:val="single" w:color="E2D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Structured CSV/JSON export available to practice owners on request</w:t>
            </w:r>
          </w:p>
        </w:tc>
      </w:tr>
    </w:tbl>
    <w:p>
      <w:pPr>
        <w:pStyle w:val="Heading1"/>
      </w:pPr>
      <w:r>
        <w:t xml:space="preserve">Summary</w:t>
      </w:r>
    </w:p>
    <w:p>
      <w:pPr>
        <w:spacing w:after="1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StrydeOS maintains 36 out of 37 compliance controls at full compliance status, with 1 item (ICO registration) in progress. This checklist is reviewed annually or upon any material change to data processing activities, infrastructure, or regulatory requirements.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B2545"/>
          <w:sz w:val="21"/>
          <w:szCs w:val="21"/>
        </w:rPr>
        <w:t xml:space="preserve">For questions or requests related to this checklist, contact: hello@strydeos.com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FDA" w:sz="2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StrydeOS Ltd  ·  Confidential  ·  hello@strydeos.com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54F2" w:sz="4" w:space="6"/>
      </w:pBdr>
      <w:spacing w:after="80"/>
      <w:jc w:val="right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StrydeOS</w:t>
    </w:r>
    <w:r>
      <w:rPr>
        <w:rFonts w:ascii="Arial" w:cs="Arial" w:eastAsia="Arial" w:hAnsi="Arial"/>
        <w:color w:val="6B7280"/>
        <w:sz w:val="16"/>
        <w:szCs w:val="16"/>
      </w:rPr>
      <w:t xml:space="preserve">  |  Compliance Checklist  |  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C54F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2026-03-09T11:14:14.442Z</dcterms:created>
  <dcterms:modified xsi:type="dcterms:W3CDTF">2026-03-09T11:14:14.443Z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