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F76B6" w14:textId="06EA269A" w:rsidR="0023656C" w:rsidRDefault="0072474A" w:rsidP="0023656C">
      <w:pPr>
        <w:pStyle w:val="Title"/>
        <w:jc w:val="center"/>
      </w:pPr>
      <w:r>
        <w:t>Milestone 5</w:t>
      </w:r>
    </w:p>
    <w:p w14:paraId="7B5FAED4" w14:textId="77777777" w:rsidR="0023656C" w:rsidRDefault="0023656C" w:rsidP="0023656C">
      <w:pPr>
        <w:rPr>
          <w:b/>
          <w:bCs/>
        </w:rPr>
      </w:pPr>
    </w:p>
    <w:p w14:paraId="0420D456" w14:textId="57C9FF9A" w:rsidR="0023656C" w:rsidRPr="0023656C" w:rsidRDefault="0023656C" w:rsidP="0023656C">
      <w:pPr>
        <w:pStyle w:val="Heading1"/>
      </w:pPr>
      <w:r w:rsidRPr="0023656C">
        <w:t>Summary of Analysis</w:t>
      </w:r>
    </w:p>
    <w:p w14:paraId="308039EF" w14:textId="098DFDCC" w:rsidR="00175559" w:rsidRPr="00175559" w:rsidRDefault="00175559" w:rsidP="00175559">
      <w:pPr>
        <w:spacing w:line="480" w:lineRule="auto"/>
        <w:ind w:firstLine="720"/>
        <w:rPr>
          <w:rFonts w:ascii="Calibri" w:hAnsi="Calibri" w:cs="Calibri"/>
        </w:rPr>
      </w:pPr>
      <w:r w:rsidRPr="00175559">
        <w:rPr>
          <w:rFonts w:ascii="Calibri" w:hAnsi="Calibri" w:cs="Calibri"/>
        </w:rPr>
        <w:t>In this analysis I examined the Cost-of-Living Index data from 2024 focusing on trends and insights across various years. The dataset contains multiple economic indicators such as unemployment rates, food and nutrition costs, and medical costs for different regions. The goal of the analysis was to uncover trends in the cost of living, regional variations, and the impact of specific economic events. After cleaning and preparing the data, I performed exploratory data analysis and developed visualizations to highlight key findings.</w:t>
      </w:r>
    </w:p>
    <w:p w14:paraId="63C9301F" w14:textId="2D79B0CB" w:rsidR="0023656C" w:rsidRPr="0023656C" w:rsidRDefault="0023656C" w:rsidP="0023656C">
      <w:pPr>
        <w:pStyle w:val="Heading2"/>
      </w:pPr>
      <w:r w:rsidRPr="0023656C">
        <w:t>Findings</w:t>
      </w:r>
    </w:p>
    <w:p w14:paraId="3847F8FE" w14:textId="3ACC4CC8" w:rsidR="0023656C" w:rsidRPr="0023656C" w:rsidRDefault="0023656C" w:rsidP="0023656C">
      <w:pPr>
        <w:numPr>
          <w:ilvl w:val="0"/>
          <w:numId w:val="1"/>
        </w:numPr>
        <w:spacing w:line="480" w:lineRule="auto"/>
        <w:rPr>
          <w:rFonts w:ascii="Calibri" w:hAnsi="Calibri" w:cs="Calibri"/>
          <w:sz w:val="24"/>
          <w:szCs w:val="24"/>
        </w:rPr>
      </w:pPr>
      <w:r w:rsidRPr="0023656C">
        <w:rPr>
          <w:rFonts w:ascii="Calibri" w:hAnsi="Calibri" w:cs="Calibri"/>
          <w:b/>
          <w:bCs/>
          <w:sz w:val="24"/>
          <w:szCs w:val="24"/>
        </w:rPr>
        <w:t>Trends Over Time</w:t>
      </w:r>
      <w:r w:rsidRPr="0023656C">
        <w:rPr>
          <w:rFonts w:ascii="Calibri" w:hAnsi="Calibri" w:cs="Calibri"/>
          <w:sz w:val="24"/>
          <w:szCs w:val="24"/>
        </w:rPr>
        <w:t xml:space="preserve">: The data revealed significant fluctuations in </w:t>
      </w:r>
      <w:r w:rsidR="00175559" w:rsidRPr="0023656C">
        <w:rPr>
          <w:rFonts w:ascii="Calibri" w:hAnsi="Calibri" w:cs="Calibri"/>
          <w:sz w:val="24"/>
          <w:szCs w:val="24"/>
        </w:rPr>
        <w:t>cost-of-living</w:t>
      </w:r>
      <w:r w:rsidRPr="0023656C">
        <w:rPr>
          <w:rFonts w:ascii="Calibri" w:hAnsi="Calibri" w:cs="Calibri"/>
          <w:sz w:val="24"/>
          <w:szCs w:val="24"/>
        </w:rPr>
        <w:t xml:space="preserve"> indices over the years. For example, the UNR_16 (Unemployment Rate) exhibited a noticeable increase in several countries during economic downturns, while food-related costs (FUNR_16) showed more consistent growth.</w:t>
      </w:r>
    </w:p>
    <w:p w14:paraId="3C27F90C" w14:textId="30BD9B54" w:rsidR="0023656C" w:rsidRPr="0023656C" w:rsidRDefault="0023656C" w:rsidP="0023656C">
      <w:pPr>
        <w:numPr>
          <w:ilvl w:val="0"/>
          <w:numId w:val="1"/>
        </w:numPr>
        <w:spacing w:line="480" w:lineRule="auto"/>
        <w:rPr>
          <w:rFonts w:ascii="Calibri" w:hAnsi="Calibri" w:cs="Calibri"/>
          <w:sz w:val="24"/>
          <w:szCs w:val="24"/>
        </w:rPr>
      </w:pPr>
      <w:r w:rsidRPr="0023656C">
        <w:rPr>
          <w:rFonts w:ascii="Calibri" w:hAnsi="Calibri" w:cs="Calibri"/>
          <w:b/>
          <w:bCs/>
          <w:sz w:val="24"/>
          <w:szCs w:val="24"/>
        </w:rPr>
        <w:t>Regional Variations</w:t>
      </w:r>
      <w:r w:rsidRPr="0023656C">
        <w:rPr>
          <w:rFonts w:ascii="Calibri" w:hAnsi="Calibri" w:cs="Calibri"/>
          <w:sz w:val="24"/>
          <w:szCs w:val="24"/>
        </w:rPr>
        <w:t>: I observed that cost of living indices varied significantly across different regions. High-income countries generally had higher indices in medical and food costs compared to lower-income countries.</w:t>
      </w:r>
    </w:p>
    <w:p w14:paraId="648A13DB" w14:textId="77777777" w:rsidR="0023656C" w:rsidRPr="0023656C" w:rsidRDefault="0023656C" w:rsidP="0023656C">
      <w:pPr>
        <w:numPr>
          <w:ilvl w:val="0"/>
          <w:numId w:val="1"/>
        </w:numPr>
        <w:spacing w:line="480" w:lineRule="auto"/>
        <w:rPr>
          <w:rFonts w:ascii="Calibri" w:hAnsi="Calibri" w:cs="Calibri"/>
          <w:sz w:val="24"/>
          <w:szCs w:val="24"/>
        </w:rPr>
      </w:pPr>
      <w:r w:rsidRPr="0023656C">
        <w:rPr>
          <w:rFonts w:ascii="Calibri" w:hAnsi="Calibri" w:cs="Calibri"/>
          <w:b/>
          <w:bCs/>
          <w:sz w:val="24"/>
          <w:szCs w:val="24"/>
        </w:rPr>
        <w:t>Impact of Economic Events</w:t>
      </w:r>
      <w:r w:rsidRPr="0023656C">
        <w:rPr>
          <w:rFonts w:ascii="Calibri" w:hAnsi="Calibri" w:cs="Calibri"/>
          <w:sz w:val="24"/>
          <w:szCs w:val="24"/>
        </w:rPr>
        <w:t>: Certain economic events, such as global financial crises or pandemics, were correlated with sharp increases in unemployment rates and food costs.</w:t>
      </w:r>
    </w:p>
    <w:p w14:paraId="202891E0" w14:textId="77777777" w:rsidR="0023656C" w:rsidRPr="0023656C" w:rsidRDefault="0023656C" w:rsidP="000C37ED">
      <w:pPr>
        <w:pStyle w:val="Heading2"/>
      </w:pPr>
      <w:r w:rsidRPr="0023656C">
        <w:lastRenderedPageBreak/>
        <w:t>Assumptions</w:t>
      </w:r>
    </w:p>
    <w:p w14:paraId="4F7105A2" w14:textId="7E9A33EF" w:rsidR="0023656C" w:rsidRPr="0023656C" w:rsidRDefault="0023656C" w:rsidP="0023656C">
      <w:pPr>
        <w:numPr>
          <w:ilvl w:val="0"/>
          <w:numId w:val="2"/>
        </w:numPr>
        <w:spacing w:line="480" w:lineRule="auto"/>
        <w:rPr>
          <w:rFonts w:ascii="Calibri" w:hAnsi="Calibri" w:cs="Calibri"/>
          <w:sz w:val="24"/>
          <w:szCs w:val="24"/>
        </w:rPr>
      </w:pPr>
      <w:r w:rsidRPr="0023656C">
        <w:rPr>
          <w:rFonts w:ascii="Calibri" w:hAnsi="Calibri" w:cs="Calibri"/>
          <w:b/>
          <w:bCs/>
          <w:sz w:val="24"/>
          <w:szCs w:val="24"/>
        </w:rPr>
        <w:t>Data Completeness</w:t>
      </w:r>
      <w:r w:rsidRPr="0023656C">
        <w:rPr>
          <w:rFonts w:ascii="Calibri" w:hAnsi="Calibri" w:cs="Calibri"/>
          <w:sz w:val="24"/>
          <w:szCs w:val="24"/>
        </w:rPr>
        <w:t xml:space="preserve">: It is assumed that the dataset is complete and accurately reflects the </w:t>
      </w:r>
      <w:r w:rsidR="00175559" w:rsidRPr="0023656C">
        <w:rPr>
          <w:rFonts w:ascii="Calibri" w:hAnsi="Calibri" w:cs="Calibri"/>
          <w:sz w:val="24"/>
          <w:szCs w:val="24"/>
        </w:rPr>
        <w:t>cost-of-living</w:t>
      </w:r>
      <w:r w:rsidRPr="0023656C">
        <w:rPr>
          <w:rFonts w:ascii="Calibri" w:hAnsi="Calibri" w:cs="Calibri"/>
          <w:sz w:val="24"/>
          <w:szCs w:val="24"/>
        </w:rPr>
        <w:t xml:space="preserve"> indices for the countries and years specified. Missing or incomplete data could affect the accuracy of the findings.</w:t>
      </w:r>
    </w:p>
    <w:p w14:paraId="3DF1E7BA" w14:textId="43B8644A" w:rsidR="0023656C" w:rsidRPr="0023656C" w:rsidRDefault="0023656C" w:rsidP="0023656C">
      <w:pPr>
        <w:numPr>
          <w:ilvl w:val="0"/>
          <w:numId w:val="2"/>
        </w:numPr>
        <w:spacing w:line="480" w:lineRule="auto"/>
        <w:rPr>
          <w:rFonts w:ascii="Calibri" w:hAnsi="Calibri" w:cs="Calibri"/>
          <w:sz w:val="24"/>
          <w:szCs w:val="24"/>
        </w:rPr>
      </w:pPr>
      <w:r w:rsidRPr="0023656C">
        <w:rPr>
          <w:rFonts w:ascii="Calibri" w:hAnsi="Calibri" w:cs="Calibri"/>
          <w:b/>
          <w:bCs/>
          <w:sz w:val="24"/>
          <w:szCs w:val="24"/>
        </w:rPr>
        <w:t>Consistency Across Years</w:t>
      </w:r>
      <w:r w:rsidRPr="0023656C">
        <w:rPr>
          <w:rFonts w:ascii="Calibri" w:hAnsi="Calibri" w:cs="Calibri"/>
          <w:sz w:val="24"/>
          <w:szCs w:val="24"/>
        </w:rPr>
        <w:t>: I assumed that the method of collecting and reporting cost of living data remained consistent across the years covered in the dataset.</w:t>
      </w:r>
    </w:p>
    <w:p w14:paraId="0453962D" w14:textId="77777777" w:rsidR="0023656C" w:rsidRPr="0023656C" w:rsidRDefault="0023656C" w:rsidP="0023656C">
      <w:pPr>
        <w:numPr>
          <w:ilvl w:val="0"/>
          <w:numId w:val="2"/>
        </w:numPr>
        <w:spacing w:line="480" w:lineRule="auto"/>
        <w:rPr>
          <w:rFonts w:ascii="Calibri" w:hAnsi="Calibri" w:cs="Calibri"/>
          <w:sz w:val="24"/>
          <w:szCs w:val="24"/>
        </w:rPr>
      </w:pPr>
      <w:r w:rsidRPr="0023656C">
        <w:rPr>
          <w:rFonts w:ascii="Calibri" w:hAnsi="Calibri" w:cs="Calibri"/>
          <w:b/>
          <w:bCs/>
          <w:sz w:val="24"/>
          <w:szCs w:val="24"/>
        </w:rPr>
        <w:t>Economic Indicators</w:t>
      </w:r>
      <w:r w:rsidRPr="0023656C">
        <w:rPr>
          <w:rFonts w:ascii="Calibri" w:hAnsi="Calibri" w:cs="Calibri"/>
          <w:sz w:val="24"/>
          <w:szCs w:val="24"/>
        </w:rPr>
        <w:t>: The analysis assumes that the indicators used (UNR_16, FUNR_16, MUNR_16) are reliable and comparable across countries and years.</w:t>
      </w:r>
    </w:p>
    <w:p w14:paraId="15B4FA64" w14:textId="77777777" w:rsidR="0023656C" w:rsidRPr="0023656C" w:rsidRDefault="0023656C" w:rsidP="000C37ED">
      <w:pPr>
        <w:pStyle w:val="Heading2"/>
      </w:pPr>
      <w:r w:rsidRPr="0023656C">
        <w:t>Items That Still Need Clarification</w:t>
      </w:r>
    </w:p>
    <w:p w14:paraId="5AF69117" w14:textId="77777777" w:rsidR="0023656C" w:rsidRPr="0023656C" w:rsidRDefault="0023656C" w:rsidP="0023656C">
      <w:pPr>
        <w:numPr>
          <w:ilvl w:val="0"/>
          <w:numId w:val="3"/>
        </w:numPr>
        <w:spacing w:line="480" w:lineRule="auto"/>
        <w:rPr>
          <w:rFonts w:ascii="Calibri" w:hAnsi="Calibri" w:cs="Calibri"/>
          <w:sz w:val="24"/>
          <w:szCs w:val="24"/>
        </w:rPr>
      </w:pPr>
      <w:r w:rsidRPr="0023656C">
        <w:rPr>
          <w:rFonts w:ascii="Calibri" w:hAnsi="Calibri" w:cs="Calibri"/>
          <w:b/>
          <w:bCs/>
          <w:sz w:val="24"/>
          <w:szCs w:val="24"/>
        </w:rPr>
        <w:t>Data Collection Methods</w:t>
      </w:r>
      <w:r w:rsidRPr="0023656C">
        <w:rPr>
          <w:rFonts w:ascii="Calibri" w:hAnsi="Calibri" w:cs="Calibri"/>
          <w:sz w:val="24"/>
          <w:szCs w:val="24"/>
        </w:rPr>
        <w:t>: The specifics of how the data was collected and any potential biases in the data collection process need to be clarified.</w:t>
      </w:r>
    </w:p>
    <w:p w14:paraId="4028F320" w14:textId="6679C884" w:rsidR="0023656C" w:rsidRPr="0023656C" w:rsidRDefault="0023656C" w:rsidP="0023656C">
      <w:pPr>
        <w:numPr>
          <w:ilvl w:val="0"/>
          <w:numId w:val="3"/>
        </w:numPr>
        <w:spacing w:line="480" w:lineRule="auto"/>
        <w:rPr>
          <w:rFonts w:ascii="Calibri" w:hAnsi="Calibri" w:cs="Calibri"/>
          <w:sz w:val="24"/>
          <w:szCs w:val="24"/>
        </w:rPr>
      </w:pPr>
      <w:r w:rsidRPr="0023656C">
        <w:rPr>
          <w:rFonts w:ascii="Calibri" w:hAnsi="Calibri" w:cs="Calibri"/>
          <w:b/>
          <w:bCs/>
          <w:sz w:val="24"/>
          <w:szCs w:val="24"/>
        </w:rPr>
        <w:t>Missing Data</w:t>
      </w:r>
      <w:r w:rsidRPr="0023656C">
        <w:rPr>
          <w:rFonts w:ascii="Calibri" w:hAnsi="Calibri" w:cs="Calibri"/>
          <w:sz w:val="24"/>
          <w:szCs w:val="24"/>
        </w:rPr>
        <w:t xml:space="preserve">: </w:t>
      </w:r>
      <w:r w:rsidR="00175559" w:rsidRPr="00175559">
        <w:rPr>
          <w:rFonts w:ascii="Calibri" w:hAnsi="Calibri" w:cs="Calibri"/>
          <w:sz w:val="24"/>
          <w:szCs w:val="24"/>
        </w:rPr>
        <w:t xml:space="preserve">Some data points are </w:t>
      </w:r>
      <w:r w:rsidR="00175559">
        <w:rPr>
          <w:rFonts w:ascii="Calibri" w:hAnsi="Calibri" w:cs="Calibri"/>
          <w:sz w:val="24"/>
          <w:szCs w:val="24"/>
        </w:rPr>
        <w:t xml:space="preserve">still </w:t>
      </w:r>
      <w:r w:rsidR="00175559" w:rsidRPr="00175559">
        <w:rPr>
          <w:rFonts w:ascii="Calibri" w:hAnsi="Calibri" w:cs="Calibri"/>
          <w:sz w:val="24"/>
          <w:szCs w:val="24"/>
        </w:rPr>
        <w:t>missing and further clarification on their potential impact would improve the analysis.</w:t>
      </w:r>
      <w:r w:rsidR="00175559">
        <w:rPr>
          <w:rFonts w:ascii="Calibri" w:hAnsi="Calibri" w:cs="Calibri"/>
          <w:sz w:val="24"/>
          <w:szCs w:val="24"/>
        </w:rPr>
        <w:t xml:space="preserve"> More data would also help fill in gaps using averages or other methods.</w:t>
      </w:r>
    </w:p>
    <w:p w14:paraId="7E03EF4F" w14:textId="697BA581" w:rsidR="0023656C" w:rsidRPr="0023656C" w:rsidRDefault="0023656C" w:rsidP="0023656C">
      <w:pPr>
        <w:numPr>
          <w:ilvl w:val="0"/>
          <w:numId w:val="3"/>
        </w:numPr>
        <w:spacing w:line="480" w:lineRule="auto"/>
        <w:rPr>
          <w:rFonts w:ascii="Calibri" w:hAnsi="Calibri" w:cs="Calibri"/>
          <w:sz w:val="24"/>
          <w:szCs w:val="24"/>
        </w:rPr>
      </w:pPr>
      <w:r w:rsidRPr="0023656C">
        <w:rPr>
          <w:rFonts w:ascii="Calibri" w:hAnsi="Calibri" w:cs="Calibri"/>
          <w:b/>
          <w:bCs/>
          <w:sz w:val="24"/>
          <w:szCs w:val="24"/>
        </w:rPr>
        <w:t>Economic Context</w:t>
      </w:r>
      <w:r w:rsidRPr="0023656C">
        <w:rPr>
          <w:rFonts w:ascii="Calibri" w:hAnsi="Calibri" w:cs="Calibri"/>
          <w:sz w:val="24"/>
          <w:szCs w:val="24"/>
        </w:rPr>
        <w:t xml:space="preserve">: Additional context on the economic events and their specific impact on the </w:t>
      </w:r>
      <w:r w:rsidR="00175559" w:rsidRPr="0023656C">
        <w:rPr>
          <w:rFonts w:ascii="Calibri" w:hAnsi="Calibri" w:cs="Calibri"/>
          <w:sz w:val="24"/>
          <w:szCs w:val="24"/>
        </w:rPr>
        <w:t>cost-of-living</w:t>
      </w:r>
      <w:r w:rsidRPr="0023656C">
        <w:rPr>
          <w:rFonts w:ascii="Calibri" w:hAnsi="Calibri" w:cs="Calibri"/>
          <w:sz w:val="24"/>
          <w:szCs w:val="24"/>
        </w:rPr>
        <w:t xml:space="preserve"> indices would enhance the interpretation of the data.</w:t>
      </w:r>
    </w:p>
    <w:p w14:paraId="78009DFC" w14:textId="77777777" w:rsidR="0023656C" w:rsidRPr="0023656C" w:rsidRDefault="0023656C" w:rsidP="0023656C">
      <w:pPr>
        <w:pStyle w:val="Heading1"/>
      </w:pPr>
      <w:r w:rsidRPr="0023656C">
        <w:lastRenderedPageBreak/>
        <w:t>Direction of Story/Plan of Attack/Message You Want to Get Across</w:t>
      </w:r>
    </w:p>
    <w:p w14:paraId="4AB9C927" w14:textId="12A74A2B" w:rsidR="0023656C" w:rsidRPr="0023656C" w:rsidRDefault="0023656C" w:rsidP="0023656C">
      <w:pPr>
        <w:spacing w:line="480" w:lineRule="auto"/>
        <w:rPr>
          <w:rFonts w:ascii="Calibri" w:hAnsi="Calibri" w:cs="Calibri"/>
          <w:sz w:val="24"/>
          <w:szCs w:val="24"/>
        </w:rPr>
      </w:pPr>
      <w:r w:rsidRPr="0023656C">
        <w:rPr>
          <w:rFonts w:ascii="Calibri" w:hAnsi="Calibri" w:cs="Calibri"/>
          <w:sz w:val="24"/>
          <w:szCs w:val="24"/>
        </w:rPr>
        <w:t xml:space="preserve">The primary message of this analysis is to highlight the significant variations in the </w:t>
      </w:r>
      <w:r w:rsidR="00175559" w:rsidRPr="0023656C">
        <w:rPr>
          <w:rFonts w:ascii="Calibri" w:hAnsi="Calibri" w:cs="Calibri"/>
          <w:sz w:val="24"/>
          <w:szCs w:val="24"/>
        </w:rPr>
        <w:t>cost-of-living</w:t>
      </w:r>
      <w:r w:rsidRPr="0023656C">
        <w:rPr>
          <w:rFonts w:ascii="Calibri" w:hAnsi="Calibri" w:cs="Calibri"/>
          <w:sz w:val="24"/>
          <w:szCs w:val="24"/>
        </w:rPr>
        <w:t xml:space="preserve"> indices across different countries and years, emphasizing the impact of economic events on these indices. The story will unfold by first presenting the overall trends and regional variations observed in the data, followed by a deeper dive into the impact of specific economic events. The goal is to illustrate how economic </w:t>
      </w:r>
      <w:r w:rsidR="00175559" w:rsidRPr="0023656C">
        <w:rPr>
          <w:rFonts w:ascii="Calibri" w:hAnsi="Calibri" w:cs="Calibri"/>
          <w:sz w:val="24"/>
          <w:szCs w:val="24"/>
        </w:rPr>
        <w:t>fluctuations,</w:t>
      </w:r>
      <w:r w:rsidRPr="0023656C">
        <w:rPr>
          <w:rFonts w:ascii="Calibri" w:hAnsi="Calibri" w:cs="Calibri"/>
          <w:sz w:val="24"/>
          <w:szCs w:val="24"/>
        </w:rPr>
        <w:t xml:space="preserve"> and regional differences influence the cost of living, providing valuable insights for policymakers, researchers, and the </w:t>
      </w:r>
      <w:r w:rsidR="00175559" w:rsidRPr="0023656C">
        <w:rPr>
          <w:rFonts w:ascii="Calibri" w:hAnsi="Calibri" w:cs="Calibri"/>
          <w:sz w:val="24"/>
          <w:szCs w:val="24"/>
        </w:rPr>
        <w:t>public</w:t>
      </w:r>
      <w:r w:rsidRPr="0023656C">
        <w:rPr>
          <w:rFonts w:ascii="Calibri" w:hAnsi="Calibri" w:cs="Calibri"/>
          <w:sz w:val="24"/>
          <w:szCs w:val="24"/>
        </w:rPr>
        <w:t>.</w:t>
      </w:r>
    </w:p>
    <w:p w14:paraId="5466B9B4" w14:textId="77777777" w:rsidR="0023656C" w:rsidRPr="0023656C" w:rsidRDefault="0023656C" w:rsidP="0023656C">
      <w:pPr>
        <w:pStyle w:val="Heading1"/>
      </w:pPr>
      <w:r w:rsidRPr="0023656C">
        <w:t>Target Audience</w:t>
      </w:r>
    </w:p>
    <w:p w14:paraId="03EF14BF" w14:textId="2EE4B48B" w:rsidR="0023656C" w:rsidRPr="0023656C" w:rsidRDefault="0023656C" w:rsidP="0023656C">
      <w:pPr>
        <w:numPr>
          <w:ilvl w:val="0"/>
          <w:numId w:val="4"/>
        </w:numPr>
        <w:spacing w:line="480" w:lineRule="auto"/>
        <w:rPr>
          <w:rFonts w:ascii="Calibri" w:hAnsi="Calibri" w:cs="Calibri"/>
          <w:sz w:val="24"/>
          <w:szCs w:val="24"/>
        </w:rPr>
      </w:pPr>
      <w:r w:rsidRPr="0023656C">
        <w:rPr>
          <w:rFonts w:ascii="Calibri" w:hAnsi="Calibri" w:cs="Calibri"/>
          <w:b/>
          <w:bCs/>
          <w:sz w:val="24"/>
          <w:szCs w:val="24"/>
        </w:rPr>
        <w:t>Policymakers</w:t>
      </w:r>
      <w:r w:rsidRPr="0023656C">
        <w:rPr>
          <w:rFonts w:ascii="Calibri" w:hAnsi="Calibri" w:cs="Calibri"/>
          <w:sz w:val="24"/>
          <w:szCs w:val="24"/>
        </w:rPr>
        <w:t xml:space="preserve">: Individuals involved in economic policy and planning can use these insights to understand the impact of economic events on </w:t>
      </w:r>
      <w:r w:rsidR="00175559" w:rsidRPr="0023656C">
        <w:rPr>
          <w:rFonts w:ascii="Calibri" w:hAnsi="Calibri" w:cs="Calibri"/>
          <w:sz w:val="24"/>
          <w:szCs w:val="24"/>
        </w:rPr>
        <w:t>the cost</w:t>
      </w:r>
      <w:r w:rsidR="00175559">
        <w:rPr>
          <w:rFonts w:ascii="Calibri" w:hAnsi="Calibri" w:cs="Calibri"/>
          <w:sz w:val="24"/>
          <w:szCs w:val="24"/>
        </w:rPr>
        <w:t>-</w:t>
      </w:r>
      <w:r w:rsidRPr="0023656C">
        <w:rPr>
          <w:rFonts w:ascii="Calibri" w:hAnsi="Calibri" w:cs="Calibri"/>
          <w:sz w:val="24"/>
          <w:szCs w:val="24"/>
        </w:rPr>
        <w:t>of</w:t>
      </w:r>
      <w:r w:rsidR="00175559">
        <w:rPr>
          <w:rFonts w:ascii="Calibri" w:hAnsi="Calibri" w:cs="Calibri"/>
          <w:sz w:val="24"/>
          <w:szCs w:val="24"/>
        </w:rPr>
        <w:t>-</w:t>
      </w:r>
      <w:r w:rsidRPr="0023656C">
        <w:rPr>
          <w:rFonts w:ascii="Calibri" w:hAnsi="Calibri" w:cs="Calibri"/>
          <w:sz w:val="24"/>
          <w:szCs w:val="24"/>
        </w:rPr>
        <w:t>living and adjust policies accordingly.</w:t>
      </w:r>
    </w:p>
    <w:p w14:paraId="05FB9B83" w14:textId="77777777" w:rsidR="0023656C" w:rsidRPr="0023656C" w:rsidRDefault="0023656C" w:rsidP="0023656C">
      <w:pPr>
        <w:numPr>
          <w:ilvl w:val="0"/>
          <w:numId w:val="4"/>
        </w:numPr>
        <w:spacing w:line="480" w:lineRule="auto"/>
        <w:rPr>
          <w:rFonts w:ascii="Calibri" w:hAnsi="Calibri" w:cs="Calibri"/>
          <w:sz w:val="24"/>
          <w:szCs w:val="24"/>
        </w:rPr>
      </w:pPr>
      <w:r w:rsidRPr="0023656C">
        <w:rPr>
          <w:rFonts w:ascii="Calibri" w:hAnsi="Calibri" w:cs="Calibri"/>
          <w:b/>
          <w:bCs/>
          <w:sz w:val="24"/>
          <w:szCs w:val="24"/>
        </w:rPr>
        <w:t>Researchers and Economists</w:t>
      </w:r>
      <w:r w:rsidRPr="0023656C">
        <w:rPr>
          <w:rFonts w:ascii="Calibri" w:hAnsi="Calibri" w:cs="Calibri"/>
          <w:sz w:val="24"/>
          <w:szCs w:val="24"/>
        </w:rPr>
        <w:t>: This group will benefit from the detailed analysis and trends identified in the data, which can inform further research and economic studies.</w:t>
      </w:r>
    </w:p>
    <w:p w14:paraId="2089A5F1" w14:textId="6B350F35" w:rsidR="0023656C" w:rsidRPr="0023656C" w:rsidRDefault="0023656C" w:rsidP="0023656C">
      <w:pPr>
        <w:numPr>
          <w:ilvl w:val="0"/>
          <w:numId w:val="4"/>
        </w:numPr>
        <w:spacing w:line="480" w:lineRule="auto"/>
        <w:rPr>
          <w:rFonts w:ascii="Calibri" w:hAnsi="Calibri" w:cs="Calibri"/>
          <w:sz w:val="24"/>
          <w:szCs w:val="24"/>
        </w:rPr>
      </w:pPr>
      <w:r w:rsidRPr="0023656C">
        <w:rPr>
          <w:rFonts w:ascii="Calibri" w:hAnsi="Calibri" w:cs="Calibri"/>
          <w:b/>
          <w:bCs/>
          <w:sz w:val="24"/>
          <w:szCs w:val="24"/>
        </w:rPr>
        <w:t>General Public</w:t>
      </w:r>
      <w:r w:rsidRPr="0023656C">
        <w:rPr>
          <w:rFonts w:ascii="Calibri" w:hAnsi="Calibri" w:cs="Calibri"/>
          <w:sz w:val="24"/>
          <w:szCs w:val="24"/>
        </w:rPr>
        <w:t xml:space="preserve">: Understanding the </w:t>
      </w:r>
      <w:r w:rsidR="00175559" w:rsidRPr="0023656C">
        <w:rPr>
          <w:rFonts w:ascii="Calibri" w:hAnsi="Calibri" w:cs="Calibri"/>
          <w:sz w:val="24"/>
          <w:szCs w:val="24"/>
        </w:rPr>
        <w:t>cost-of-living</w:t>
      </w:r>
      <w:r w:rsidRPr="0023656C">
        <w:rPr>
          <w:rFonts w:ascii="Calibri" w:hAnsi="Calibri" w:cs="Calibri"/>
          <w:sz w:val="24"/>
          <w:szCs w:val="24"/>
        </w:rPr>
        <w:t xml:space="preserve"> trends can help the </w:t>
      </w:r>
      <w:r w:rsidR="00175559" w:rsidRPr="0023656C">
        <w:rPr>
          <w:rFonts w:ascii="Calibri" w:hAnsi="Calibri" w:cs="Calibri"/>
          <w:sz w:val="24"/>
          <w:szCs w:val="24"/>
        </w:rPr>
        <w:t>public</w:t>
      </w:r>
      <w:r w:rsidRPr="0023656C">
        <w:rPr>
          <w:rFonts w:ascii="Calibri" w:hAnsi="Calibri" w:cs="Calibri"/>
          <w:sz w:val="24"/>
          <w:szCs w:val="24"/>
        </w:rPr>
        <w:t xml:space="preserve"> make informed decisions about their personal finances and understand the broader economic context.</w:t>
      </w:r>
    </w:p>
    <w:p w14:paraId="5BAFCE9D" w14:textId="6D95522C" w:rsidR="0023656C" w:rsidRPr="0023656C" w:rsidRDefault="0023656C" w:rsidP="0023656C">
      <w:pPr>
        <w:pStyle w:val="Heading1"/>
      </w:pPr>
      <w:r w:rsidRPr="0023656C">
        <w:lastRenderedPageBreak/>
        <w:t>Mediums Include</w:t>
      </w:r>
    </w:p>
    <w:p w14:paraId="0296427E" w14:textId="7EBB5442" w:rsidR="0023656C" w:rsidRPr="0023656C" w:rsidRDefault="0023656C" w:rsidP="0023656C">
      <w:pPr>
        <w:numPr>
          <w:ilvl w:val="0"/>
          <w:numId w:val="5"/>
        </w:numPr>
        <w:spacing w:line="480" w:lineRule="auto"/>
        <w:rPr>
          <w:rFonts w:ascii="Calibri" w:hAnsi="Calibri" w:cs="Calibri"/>
          <w:sz w:val="24"/>
          <w:szCs w:val="24"/>
        </w:rPr>
      </w:pPr>
      <w:r w:rsidRPr="0023656C">
        <w:rPr>
          <w:rFonts w:ascii="Calibri" w:hAnsi="Calibri" w:cs="Calibri"/>
          <w:b/>
          <w:bCs/>
          <w:sz w:val="24"/>
          <w:szCs w:val="24"/>
        </w:rPr>
        <w:t>Graphs and Charts</w:t>
      </w:r>
      <w:r w:rsidR="00175559">
        <w:rPr>
          <w:rFonts w:ascii="Calibri" w:hAnsi="Calibri" w:cs="Calibri"/>
          <w:b/>
          <w:bCs/>
          <w:sz w:val="24"/>
          <w:szCs w:val="24"/>
        </w:rPr>
        <w:t xml:space="preserve"> (PowerPoint)</w:t>
      </w:r>
      <w:r w:rsidRPr="0023656C">
        <w:rPr>
          <w:rFonts w:ascii="Calibri" w:hAnsi="Calibri" w:cs="Calibri"/>
          <w:sz w:val="24"/>
          <w:szCs w:val="24"/>
        </w:rPr>
        <w:t xml:space="preserve">: Visualizations such as line graphs for trends over time and bar charts for regional comparisons </w:t>
      </w:r>
      <w:r w:rsidR="00175559">
        <w:rPr>
          <w:rFonts w:ascii="Calibri" w:hAnsi="Calibri" w:cs="Calibri"/>
          <w:sz w:val="24"/>
          <w:szCs w:val="24"/>
        </w:rPr>
        <w:t>were</w:t>
      </w:r>
      <w:r w:rsidRPr="0023656C">
        <w:rPr>
          <w:rFonts w:ascii="Calibri" w:hAnsi="Calibri" w:cs="Calibri"/>
          <w:sz w:val="24"/>
          <w:szCs w:val="24"/>
        </w:rPr>
        <w:t xml:space="preserve"> used to clearly present the data and findings. </w:t>
      </w:r>
      <w:r w:rsidR="00175559" w:rsidRPr="00175559">
        <w:rPr>
          <w:rFonts w:ascii="Calibri" w:hAnsi="Calibri" w:cs="Calibri"/>
          <w:sz w:val="24"/>
          <w:szCs w:val="24"/>
        </w:rPr>
        <w:t>Visual representations of trends, such as a stacked bar chart comparing childcare costs by state</w:t>
      </w:r>
      <w:r w:rsidR="00175559">
        <w:rPr>
          <w:rFonts w:ascii="Calibri" w:hAnsi="Calibri" w:cs="Calibri"/>
          <w:sz w:val="24"/>
          <w:szCs w:val="24"/>
        </w:rPr>
        <w:t>,</w:t>
      </w:r>
      <w:r w:rsidR="00175559" w:rsidRPr="00175559">
        <w:rPr>
          <w:rFonts w:ascii="Calibri" w:hAnsi="Calibri" w:cs="Calibri"/>
          <w:sz w:val="24"/>
          <w:szCs w:val="24"/>
        </w:rPr>
        <w:t xml:space="preserve"> are included to clearly illustrate key insights.</w:t>
      </w:r>
    </w:p>
    <w:p w14:paraId="59818D00" w14:textId="62702673" w:rsidR="0023656C" w:rsidRPr="0023656C" w:rsidRDefault="0023656C" w:rsidP="0023656C">
      <w:pPr>
        <w:numPr>
          <w:ilvl w:val="0"/>
          <w:numId w:val="5"/>
        </w:numPr>
        <w:spacing w:line="480" w:lineRule="auto"/>
        <w:rPr>
          <w:rFonts w:ascii="Calibri" w:hAnsi="Calibri" w:cs="Calibri"/>
          <w:sz w:val="24"/>
          <w:szCs w:val="24"/>
        </w:rPr>
      </w:pPr>
      <w:r w:rsidRPr="0023656C">
        <w:rPr>
          <w:rFonts w:ascii="Calibri" w:hAnsi="Calibri" w:cs="Calibri"/>
          <w:b/>
          <w:bCs/>
          <w:sz w:val="24"/>
          <w:szCs w:val="24"/>
        </w:rPr>
        <w:t>Written Report</w:t>
      </w:r>
      <w:r w:rsidRPr="0023656C">
        <w:rPr>
          <w:rFonts w:ascii="Calibri" w:hAnsi="Calibri" w:cs="Calibri"/>
          <w:sz w:val="24"/>
          <w:szCs w:val="24"/>
        </w:rPr>
        <w:t>: A detailed written report provide</w:t>
      </w:r>
      <w:r w:rsidR="00175559">
        <w:rPr>
          <w:rFonts w:ascii="Calibri" w:hAnsi="Calibri" w:cs="Calibri"/>
          <w:sz w:val="24"/>
          <w:szCs w:val="24"/>
        </w:rPr>
        <w:t>s</w:t>
      </w:r>
      <w:r w:rsidRPr="0023656C">
        <w:rPr>
          <w:rFonts w:ascii="Calibri" w:hAnsi="Calibri" w:cs="Calibri"/>
          <w:sz w:val="24"/>
          <w:szCs w:val="24"/>
        </w:rPr>
        <w:t xml:space="preserve"> an in-depth explanation of the analysis, findings, and methodologies used. This serve</w:t>
      </w:r>
      <w:r w:rsidR="00175559">
        <w:rPr>
          <w:rFonts w:ascii="Calibri" w:hAnsi="Calibri" w:cs="Calibri"/>
          <w:sz w:val="24"/>
          <w:szCs w:val="24"/>
        </w:rPr>
        <w:t>s</w:t>
      </w:r>
      <w:r w:rsidRPr="0023656C">
        <w:rPr>
          <w:rFonts w:ascii="Calibri" w:hAnsi="Calibri" w:cs="Calibri"/>
          <w:sz w:val="24"/>
          <w:szCs w:val="24"/>
        </w:rPr>
        <w:t xml:space="preserve"> as a comprehensive reference for the target audience to understand the context and implications of the data.</w:t>
      </w:r>
    </w:p>
    <w:p w14:paraId="5A0B1FCD" w14:textId="6E3AE7E6" w:rsidR="0023656C" w:rsidRPr="0023656C" w:rsidRDefault="00175559" w:rsidP="0023656C">
      <w:pPr>
        <w:numPr>
          <w:ilvl w:val="0"/>
          <w:numId w:val="5"/>
        </w:numPr>
        <w:spacing w:line="480" w:lineRule="auto"/>
        <w:rPr>
          <w:rFonts w:ascii="Calibri" w:hAnsi="Calibri" w:cs="Calibri"/>
          <w:sz w:val="24"/>
          <w:szCs w:val="24"/>
        </w:rPr>
      </w:pPr>
      <w:r>
        <w:rPr>
          <w:rFonts w:ascii="Calibri" w:hAnsi="Calibri" w:cs="Calibri"/>
          <w:b/>
          <w:bCs/>
          <w:sz w:val="24"/>
          <w:szCs w:val="24"/>
        </w:rPr>
        <w:t>Info Graphic (Canva)</w:t>
      </w:r>
      <w:r w:rsidR="0023656C" w:rsidRPr="0023656C">
        <w:rPr>
          <w:rFonts w:ascii="Calibri" w:hAnsi="Calibri" w:cs="Calibri"/>
          <w:sz w:val="24"/>
          <w:szCs w:val="24"/>
        </w:rPr>
        <w:t xml:space="preserve">: </w:t>
      </w:r>
      <w:r w:rsidRPr="00175559">
        <w:rPr>
          <w:rFonts w:ascii="Calibri" w:hAnsi="Calibri" w:cs="Calibri"/>
          <w:sz w:val="24"/>
          <w:szCs w:val="24"/>
        </w:rPr>
        <w:t>The infographic is designed to condense complex data into easily understandable visuals for a general audience, combining key statistics, trends, and takeaways.</w:t>
      </w:r>
      <w:r>
        <w:rPr>
          <w:rFonts w:ascii="Calibri" w:hAnsi="Calibri" w:cs="Calibri"/>
          <w:sz w:val="24"/>
          <w:szCs w:val="24"/>
        </w:rPr>
        <w:t xml:space="preserve"> This approach gives a quick and easy way to absorb the data without much required from the audience.</w:t>
      </w:r>
    </w:p>
    <w:p w14:paraId="664DCB08" w14:textId="5AFE4440" w:rsidR="007B406D" w:rsidRDefault="00175559" w:rsidP="00175559">
      <w:pPr>
        <w:pStyle w:val="Heading1"/>
      </w:pPr>
      <w:r>
        <w:t>Desing Decisions</w:t>
      </w:r>
    </w:p>
    <w:p w14:paraId="52B58F11" w14:textId="1B98DCA3" w:rsidR="00175559" w:rsidRPr="00175559" w:rsidRDefault="00175559" w:rsidP="00175559">
      <w:pPr>
        <w:pStyle w:val="ListParagraph"/>
        <w:numPr>
          <w:ilvl w:val="0"/>
          <w:numId w:val="9"/>
        </w:numPr>
        <w:spacing w:line="480" w:lineRule="auto"/>
        <w:rPr>
          <w:rFonts w:ascii="Calibri" w:hAnsi="Calibri" w:cs="Calibri"/>
          <w:sz w:val="24"/>
          <w:szCs w:val="24"/>
        </w:rPr>
      </w:pPr>
      <w:r w:rsidRPr="00175559">
        <w:rPr>
          <w:rFonts w:ascii="Calibri" w:hAnsi="Calibri" w:cs="Calibri"/>
          <w:b/>
          <w:bCs/>
          <w:sz w:val="24"/>
          <w:szCs w:val="24"/>
        </w:rPr>
        <w:t>Color</w:t>
      </w:r>
      <w:r w:rsidRPr="00175559">
        <w:rPr>
          <w:rFonts w:ascii="Calibri" w:hAnsi="Calibri" w:cs="Calibri"/>
          <w:sz w:val="24"/>
          <w:szCs w:val="24"/>
        </w:rPr>
        <w:t>:</w:t>
      </w:r>
      <w:r>
        <w:rPr>
          <w:rFonts w:ascii="Calibri" w:hAnsi="Calibri" w:cs="Calibri"/>
          <w:sz w:val="24"/>
          <w:szCs w:val="24"/>
        </w:rPr>
        <w:t xml:space="preserve"> </w:t>
      </w:r>
      <w:r w:rsidRPr="00175559">
        <w:rPr>
          <w:rFonts w:ascii="Calibri" w:hAnsi="Calibri" w:cs="Calibri"/>
          <w:sz w:val="24"/>
          <w:szCs w:val="24"/>
        </w:rPr>
        <w:t>Distinct colors were used to differentiate between indicators in graphs (e.g., unemployment rates vs. food costs), making it easier for users to distinguish between trends.</w:t>
      </w:r>
    </w:p>
    <w:p w14:paraId="65233D89" w14:textId="02AC07C1" w:rsidR="00175559" w:rsidRPr="00175559" w:rsidRDefault="00175559" w:rsidP="00175559">
      <w:pPr>
        <w:pStyle w:val="ListParagraph"/>
        <w:numPr>
          <w:ilvl w:val="0"/>
          <w:numId w:val="9"/>
        </w:numPr>
        <w:spacing w:line="480" w:lineRule="auto"/>
        <w:rPr>
          <w:rFonts w:ascii="Calibri" w:hAnsi="Calibri" w:cs="Calibri"/>
          <w:sz w:val="24"/>
          <w:szCs w:val="24"/>
        </w:rPr>
      </w:pPr>
      <w:r w:rsidRPr="00175559">
        <w:rPr>
          <w:rFonts w:ascii="Calibri" w:hAnsi="Calibri" w:cs="Calibri"/>
          <w:b/>
          <w:bCs/>
          <w:sz w:val="24"/>
          <w:szCs w:val="24"/>
        </w:rPr>
        <w:t>Layout</w:t>
      </w:r>
      <w:r w:rsidRPr="00175559">
        <w:rPr>
          <w:rFonts w:ascii="Calibri" w:hAnsi="Calibri" w:cs="Calibri"/>
          <w:sz w:val="24"/>
          <w:szCs w:val="24"/>
        </w:rPr>
        <w:t>:</w:t>
      </w:r>
      <w:r>
        <w:rPr>
          <w:rFonts w:ascii="Calibri" w:hAnsi="Calibri" w:cs="Calibri"/>
          <w:sz w:val="24"/>
          <w:szCs w:val="24"/>
        </w:rPr>
        <w:t xml:space="preserve"> </w:t>
      </w:r>
      <w:r w:rsidRPr="00175559">
        <w:rPr>
          <w:rFonts w:ascii="Calibri" w:hAnsi="Calibri" w:cs="Calibri"/>
          <w:sz w:val="24"/>
          <w:szCs w:val="24"/>
        </w:rPr>
        <w:t>The PowerPoint and infographic use a structured layout with clear sections (e.g., findings, insights by state) to guide the audience through the information.</w:t>
      </w:r>
    </w:p>
    <w:p w14:paraId="5F325CBB" w14:textId="1D1B2E94" w:rsidR="00175559" w:rsidRPr="00175559" w:rsidRDefault="00175559" w:rsidP="00175559">
      <w:pPr>
        <w:pStyle w:val="ListParagraph"/>
        <w:numPr>
          <w:ilvl w:val="0"/>
          <w:numId w:val="9"/>
        </w:numPr>
        <w:spacing w:line="480" w:lineRule="auto"/>
        <w:rPr>
          <w:rFonts w:ascii="Calibri" w:hAnsi="Calibri" w:cs="Calibri"/>
          <w:sz w:val="24"/>
          <w:szCs w:val="24"/>
        </w:rPr>
      </w:pPr>
      <w:r w:rsidRPr="00175559">
        <w:rPr>
          <w:rFonts w:ascii="Calibri" w:hAnsi="Calibri" w:cs="Calibri"/>
          <w:b/>
          <w:bCs/>
          <w:sz w:val="24"/>
          <w:szCs w:val="24"/>
        </w:rPr>
        <w:t>Clarity</w:t>
      </w:r>
      <w:r w:rsidRPr="00175559">
        <w:rPr>
          <w:rFonts w:ascii="Calibri" w:hAnsi="Calibri" w:cs="Calibri"/>
          <w:sz w:val="24"/>
          <w:szCs w:val="24"/>
        </w:rPr>
        <w:t>:</w:t>
      </w:r>
      <w:r>
        <w:rPr>
          <w:rFonts w:ascii="Calibri" w:hAnsi="Calibri" w:cs="Calibri"/>
          <w:sz w:val="24"/>
          <w:szCs w:val="24"/>
        </w:rPr>
        <w:t xml:space="preserve"> </w:t>
      </w:r>
      <w:r w:rsidRPr="00175559">
        <w:rPr>
          <w:rFonts w:ascii="Calibri" w:hAnsi="Calibri" w:cs="Calibri"/>
          <w:sz w:val="24"/>
          <w:szCs w:val="24"/>
        </w:rPr>
        <w:t>Labels, legends, and simple explanations accompany each visualization to enhance understanding for a broad audience.</w:t>
      </w:r>
    </w:p>
    <w:p w14:paraId="7FA9BD6A" w14:textId="77777777" w:rsidR="00175559" w:rsidRDefault="00175559" w:rsidP="0023656C">
      <w:pPr>
        <w:spacing w:line="480" w:lineRule="auto"/>
        <w:rPr>
          <w:rFonts w:ascii="Calibri" w:hAnsi="Calibri" w:cs="Calibri"/>
          <w:sz w:val="24"/>
          <w:szCs w:val="24"/>
        </w:rPr>
      </w:pPr>
    </w:p>
    <w:p w14:paraId="31A01DCE" w14:textId="7751AD00" w:rsidR="00175559" w:rsidRDefault="00175559" w:rsidP="00CE1EA5">
      <w:pPr>
        <w:pStyle w:val="Heading1"/>
      </w:pPr>
      <w:r>
        <w:t>Ethical Considerations</w:t>
      </w:r>
    </w:p>
    <w:p w14:paraId="028373A6" w14:textId="38918592" w:rsidR="00CE1EA5" w:rsidRPr="00CE1EA5" w:rsidRDefault="00CE1EA5" w:rsidP="00CE1EA5">
      <w:pPr>
        <w:pStyle w:val="ListParagraph"/>
        <w:numPr>
          <w:ilvl w:val="0"/>
          <w:numId w:val="17"/>
        </w:numPr>
        <w:spacing w:line="480" w:lineRule="auto"/>
        <w:rPr>
          <w:rFonts w:ascii="Calibri" w:hAnsi="Calibri" w:cs="Calibri"/>
          <w:sz w:val="24"/>
          <w:szCs w:val="24"/>
        </w:rPr>
      </w:pPr>
      <w:r w:rsidRPr="00CE1EA5">
        <w:rPr>
          <w:rFonts w:ascii="Calibri" w:hAnsi="Calibri" w:cs="Calibri"/>
          <w:b/>
          <w:bCs/>
          <w:sz w:val="24"/>
          <w:szCs w:val="24"/>
        </w:rPr>
        <w:t>Changes Made to Data</w:t>
      </w:r>
      <w:r w:rsidRPr="00CE1EA5">
        <w:rPr>
          <w:rFonts w:ascii="Calibri" w:hAnsi="Calibri" w:cs="Calibri"/>
          <w:sz w:val="24"/>
          <w:szCs w:val="24"/>
        </w:rPr>
        <w:t>:</w:t>
      </w:r>
      <w:r>
        <w:rPr>
          <w:rFonts w:ascii="Calibri" w:hAnsi="Calibri" w:cs="Calibri"/>
          <w:sz w:val="24"/>
          <w:szCs w:val="24"/>
        </w:rPr>
        <w:t xml:space="preserve"> </w:t>
      </w:r>
      <w:r w:rsidRPr="00CE1EA5">
        <w:rPr>
          <w:rFonts w:ascii="Calibri" w:hAnsi="Calibri" w:cs="Calibri"/>
          <w:sz w:val="24"/>
          <w:szCs w:val="24"/>
        </w:rPr>
        <w:t>Data was cleaned, and missing values were handled through imputation based on averages to maintain consistency across analyses.</w:t>
      </w:r>
      <w:r>
        <w:rPr>
          <w:rFonts w:ascii="Calibri" w:hAnsi="Calibri" w:cs="Calibri"/>
          <w:sz w:val="24"/>
          <w:szCs w:val="24"/>
        </w:rPr>
        <w:t xml:space="preserve"> In some </w:t>
      </w:r>
      <w:proofErr w:type="gramStart"/>
      <w:r>
        <w:rPr>
          <w:rFonts w:ascii="Calibri" w:hAnsi="Calibri" w:cs="Calibri"/>
          <w:sz w:val="24"/>
          <w:szCs w:val="24"/>
        </w:rPr>
        <w:t>cases</w:t>
      </w:r>
      <w:proofErr w:type="gramEnd"/>
      <w:r>
        <w:rPr>
          <w:rFonts w:ascii="Calibri" w:hAnsi="Calibri" w:cs="Calibri"/>
          <w:sz w:val="24"/>
          <w:szCs w:val="24"/>
        </w:rPr>
        <w:t xml:space="preserve"> missing values were ignored or filled in with N/A.</w:t>
      </w:r>
    </w:p>
    <w:p w14:paraId="5AC2DEBB" w14:textId="6396FED4" w:rsidR="00CE1EA5" w:rsidRPr="00CE1EA5" w:rsidRDefault="00CE1EA5" w:rsidP="00CE1EA5">
      <w:pPr>
        <w:pStyle w:val="ListParagraph"/>
        <w:numPr>
          <w:ilvl w:val="0"/>
          <w:numId w:val="17"/>
        </w:numPr>
        <w:spacing w:line="480" w:lineRule="auto"/>
        <w:rPr>
          <w:rFonts w:ascii="Calibri" w:hAnsi="Calibri" w:cs="Calibri"/>
          <w:sz w:val="24"/>
          <w:szCs w:val="24"/>
        </w:rPr>
      </w:pPr>
      <w:r w:rsidRPr="00CE1EA5">
        <w:rPr>
          <w:rFonts w:ascii="Calibri" w:hAnsi="Calibri" w:cs="Calibri"/>
          <w:b/>
          <w:bCs/>
          <w:sz w:val="24"/>
          <w:szCs w:val="24"/>
        </w:rPr>
        <w:t>Legal or Regulatory Guidelines</w:t>
      </w:r>
      <w:r w:rsidRPr="00CE1EA5">
        <w:rPr>
          <w:rFonts w:ascii="Calibri" w:hAnsi="Calibri" w:cs="Calibri"/>
          <w:sz w:val="24"/>
          <w:szCs w:val="24"/>
        </w:rPr>
        <w:t>:</w:t>
      </w:r>
      <w:r>
        <w:rPr>
          <w:rFonts w:ascii="Calibri" w:hAnsi="Calibri" w:cs="Calibri"/>
          <w:sz w:val="24"/>
          <w:szCs w:val="24"/>
        </w:rPr>
        <w:t xml:space="preserve"> </w:t>
      </w:r>
      <w:r w:rsidRPr="00CE1EA5">
        <w:rPr>
          <w:rFonts w:ascii="Calibri" w:hAnsi="Calibri" w:cs="Calibri"/>
          <w:sz w:val="24"/>
          <w:szCs w:val="24"/>
        </w:rPr>
        <w:t>No specific legal or regulatory issues were found for using this public data</w:t>
      </w:r>
      <w:r>
        <w:rPr>
          <w:rFonts w:ascii="Calibri" w:hAnsi="Calibri" w:cs="Calibri"/>
          <w:sz w:val="24"/>
          <w:szCs w:val="24"/>
        </w:rPr>
        <w:t>. The data is from a public source and any guidelines listed were followed.</w:t>
      </w:r>
    </w:p>
    <w:p w14:paraId="4DF207DB" w14:textId="67AA360C" w:rsidR="00CE1EA5" w:rsidRPr="00CE1EA5" w:rsidRDefault="00CE1EA5" w:rsidP="00CE1EA5">
      <w:pPr>
        <w:pStyle w:val="ListParagraph"/>
        <w:numPr>
          <w:ilvl w:val="0"/>
          <w:numId w:val="17"/>
        </w:numPr>
        <w:spacing w:line="480" w:lineRule="auto"/>
        <w:rPr>
          <w:rFonts w:ascii="Calibri" w:hAnsi="Calibri" w:cs="Calibri"/>
          <w:sz w:val="24"/>
          <w:szCs w:val="24"/>
        </w:rPr>
      </w:pPr>
      <w:r w:rsidRPr="00CE1EA5">
        <w:rPr>
          <w:rFonts w:ascii="Calibri" w:hAnsi="Calibri" w:cs="Calibri"/>
          <w:b/>
          <w:bCs/>
          <w:sz w:val="24"/>
          <w:szCs w:val="24"/>
        </w:rPr>
        <w:t>Risks of Transformations</w:t>
      </w:r>
      <w:r w:rsidRPr="00CE1EA5">
        <w:rPr>
          <w:rFonts w:ascii="Calibri" w:hAnsi="Calibri" w:cs="Calibri"/>
          <w:sz w:val="24"/>
          <w:szCs w:val="24"/>
        </w:rPr>
        <w:t>:</w:t>
      </w:r>
      <w:r>
        <w:rPr>
          <w:rFonts w:ascii="Calibri" w:hAnsi="Calibri" w:cs="Calibri"/>
          <w:sz w:val="24"/>
          <w:szCs w:val="24"/>
        </w:rPr>
        <w:t xml:space="preserve"> </w:t>
      </w:r>
      <w:r w:rsidRPr="00CE1EA5">
        <w:rPr>
          <w:rFonts w:ascii="Calibri" w:hAnsi="Calibri" w:cs="Calibri"/>
          <w:sz w:val="24"/>
          <w:szCs w:val="24"/>
        </w:rPr>
        <w:t>Transforming missing values or aggregating data might obscure nuances, so the methodology for handling missing data was clearly documented to avoid misleading conclusions.</w:t>
      </w:r>
      <w:r>
        <w:rPr>
          <w:rFonts w:ascii="Calibri" w:hAnsi="Calibri" w:cs="Calibri"/>
          <w:sz w:val="24"/>
          <w:szCs w:val="24"/>
        </w:rPr>
        <w:t xml:space="preserve"> Some guess work had to be done since I am not familiar with the context of the data.</w:t>
      </w:r>
    </w:p>
    <w:p w14:paraId="5D61A306" w14:textId="5D5D74FC" w:rsidR="00CE1EA5" w:rsidRPr="00CE1EA5" w:rsidRDefault="00CE1EA5" w:rsidP="00CE1EA5">
      <w:pPr>
        <w:pStyle w:val="ListParagraph"/>
        <w:numPr>
          <w:ilvl w:val="0"/>
          <w:numId w:val="17"/>
        </w:numPr>
        <w:spacing w:line="480" w:lineRule="auto"/>
        <w:rPr>
          <w:rFonts w:ascii="Calibri" w:hAnsi="Calibri" w:cs="Calibri"/>
          <w:sz w:val="24"/>
          <w:szCs w:val="24"/>
        </w:rPr>
      </w:pPr>
      <w:r w:rsidRPr="00CE1EA5">
        <w:rPr>
          <w:rFonts w:ascii="Calibri" w:hAnsi="Calibri" w:cs="Calibri"/>
          <w:b/>
          <w:bCs/>
          <w:sz w:val="24"/>
          <w:szCs w:val="24"/>
        </w:rPr>
        <w:t>Assumptions in Data Presentation</w:t>
      </w:r>
      <w:r w:rsidRPr="00CE1EA5">
        <w:rPr>
          <w:rFonts w:ascii="Calibri" w:hAnsi="Calibri" w:cs="Calibri"/>
          <w:sz w:val="24"/>
          <w:szCs w:val="24"/>
        </w:rPr>
        <w:t>:</w:t>
      </w:r>
      <w:r>
        <w:rPr>
          <w:rFonts w:ascii="Calibri" w:hAnsi="Calibri" w:cs="Calibri"/>
          <w:sz w:val="24"/>
          <w:szCs w:val="24"/>
        </w:rPr>
        <w:t xml:space="preserve"> </w:t>
      </w:r>
      <w:r w:rsidRPr="00CE1EA5">
        <w:rPr>
          <w:rFonts w:ascii="Calibri" w:hAnsi="Calibri" w:cs="Calibri"/>
          <w:sz w:val="24"/>
          <w:szCs w:val="24"/>
        </w:rPr>
        <w:t>Any assumptions (e.g., filling missing values) were documented to ensure transparency in data interpretation.</w:t>
      </w:r>
    </w:p>
    <w:p w14:paraId="023816B1" w14:textId="7E0B6DF8" w:rsidR="00CE1EA5" w:rsidRPr="00CE1EA5" w:rsidRDefault="00CE1EA5" w:rsidP="00CE1EA5">
      <w:pPr>
        <w:pStyle w:val="ListParagraph"/>
        <w:numPr>
          <w:ilvl w:val="0"/>
          <w:numId w:val="17"/>
        </w:numPr>
        <w:spacing w:line="480" w:lineRule="auto"/>
        <w:rPr>
          <w:rFonts w:ascii="Calibri" w:hAnsi="Calibri" w:cs="Calibri"/>
          <w:sz w:val="24"/>
          <w:szCs w:val="24"/>
        </w:rPr>
      </w:pPr>
      <w:r w:rsidRPr="00CE1EA5">
        <w:rPr>
          <w:rFonts w:ascii="Calibri" w:hAnsi="Calibri" w:cs="Calibri"/>
          <w:b/>
          <w:bCs/>
          <w:sz w:val="24"/>
          <w:szCs w:val="24"/>
        </w:rPr>
        <w:t>Data Sourcing</w:t>
      </w:r>
      <w:r w:rsidRPr="00CE1EA5">
        <w:rPr>
          <w:rFonts w:ascii="Calibri" w:hAnsi="Calibri" w:cs="Calibri"/>
          <w:sz w:val="24"/>
          <w:szCs w:val="24"/>
        </w:rPr>
        <w:t>:</w:t>
      </w:r>
      <w:r>
        <w:rPr>
          <w:rFonts w:ascii="Calibri" w:hAnsi="Calibri" w:cs="Calibri"/>
          <w:sz w:val="24"/>
          <w:szCs w:val="24"/>
        </w:rPr>
        <w:t xml:space="preserve"> </w:t>
      </w:r>
      <w:r w:rsidRPr="00CE1EA5">
        <w:rPr>
          <w:rFonts w:ascii="Calibri" w:hAnsi="Calibri" w:cs="Calibri"/>
          <w:sz w:val="24"/>
          <w:szCs w:val="24"/>
        </w:rPr>
        <w:t>The data came from credible sources</w:t>
      </w:r>
      <w:r>
        <w:rPr>
          <w:rFonts w:ascii="Calibri" w:hAnsi="Calibri" w:cs="Calibri"/>
          <w:sz w:val="24"/>
          <w:szCs w:val="24"/>
        </w:rPr>
        <w:t>. I did not find any need for additional data given the in-depth guide accompanying this data.</w:t>
      </w:r>
    </w:p>
    <w:p w14:paraId="5CE24B0D" w14:textId="6C3CD940" w:rsidR="00CE1EA5" w:rsidRPr="00CE1EA5" w:rsidRDefault="00CE1EA5" w:rsidP="00CE1EA5">
      <w:pPr>
        <w:pStyle w:val="ListParagraph"/>
        <w:numPr>
          <w:ilvl w:val="0"/>
          <w:numId w:val="17"/>
        </w:numPr>
        <w:spacing w:line="480" w:lineRule="auto"/>
        <w:rPr>
          <w:rFonts w:ascii="Calibri" w:hAnsi="Calibri" w:cs="Calibri"/>
          <w:sz w:val="24"/>
          <w:szCs w:val="24"/>
        </w:rPr>
      </w:pPr>
      <w:r w:rsidRPr="00CE1EA5">
        <w:rPr>
          <w:rFonts w:ascii="Calibri" w:hAnsi="Calibri" w:cs="Calibri"/>
          <w:b/>
          <w:bCs/>
          <w:sz w:val="24"/>
          <w:szCs w:val="24"/>
        </w:rPr>
        <w:t>Ethical Acquisition</w:t>
      </w:r>
      <w:r w:rsidRPr="00CE1EA5">
        <w:rPr>
          <w:rFonts w:ascii="Calibri" w:hAnsi="Calibri" w:cs="Calibri"/>
          <w:sz w:val="24"/>
          <w:szCs w:val="24"/>
        </w:rPr>
        <w:t>:</w:t>
      </w:r>
      <w:r>
        <w:rPr>
          <w:rFonts w:ascii="Calibri" w:hAnsi="Calibri" w:cs="Calibri"/>
          <w:sz w:val="24"/>
          <w:szCs w:val="24"/>
        </w:rPr>
        <w:t xml:space="preserve"> </w:t>
      </w:r>
      <w:r w:rsidRPr="00CE1EA5">
        <w:rPr>
          <w:rFonts w:ascii="Calibri" w:hAnsi="Calibri" w:cs="Calibri"/>
          <w:sz w:val="24"/>
          <w:szCs w:val="24"/>
        </w:rPr>
        <w:t>The dataset was publicly available and acquired ethically, with no privacy concerns.</w:t>
      </w:r>
    </w:p>
    <w:p w14:paraId="16188203" w14:textId="1CFD2F31" w:rsidR="00CE1EA5" w:rsidRPr="00CE1EA5" w:rsidRDefault="00CE1EA5" w:rsidP="00CE1EA5">
      <w:pPr>
        <w:pStyle w:val="ListParagraph"/>
        <w:numPr>
          <w:ilvl w:val="0"/>
          <w:numId w:val="17"/>
        </w:numPr>
        <w:spacing w:line="480" w:lineRule="auto"/>
        <w:rPr>
          <w:rFonts w:ascii="Calibri" w:hAnsi="Calibri" w:cs="Calibri"/>
          <w:sz w:val="24"/>
          <w:szCs w:val="24"/>
        </w:rPr>
      </w:pPr>
      <w:r w:rsidRPr="00CE1EA5">
        <w:rPr>
          <w:rFonts w:ascii="Calibri" w:hAnsi="Calibri" w:cs="Calibri"/>
          <w:b/>
          <w:bCs/>
          <w:sz w:val="24"/>
          <w:szCs w:val="24"/>
        </w:rPr>
        <w:lastRenderedPageBreak/>
        <w:t>Mitigation of Ethical Concerns</w:t>
      </w:r>
      <w:r w:rsidRPr="00CE1EA5">
        <w:rPr>
          <w:rFonts w:ascii="Calibri" w:hAnsi="Calibri" w:cs="Calibri"/>
          <w:sz w:val="24"/>
          <w:szCs w:val="24"/>
        </w:rPr>
        <w:t>:</w:t>
      </w:r>
      <w:r>
        <w:rPr>
          <w:rFonts w:ascii="Calibri" w:hAnsi="Calibri" w:cs="Calibri"/>
          <w:sz w:val="24"/>
          <w:szCs w:val="24"/>
        </w:rPr>
        <w:t xml:space="preserve"> </w:t>
      </w:r>
      <w:r w:rsidRPr="00CE1EA5">
        <w:rPr>
          <w:rFonts w:ascii="Calibri" w:hAnsi="Calibri" w:cs="Calibri"/>
          <w:sz w:val="24"/>
          <w:szCs w:val="24"/>
        </w:rPr>
        <w:t>The use of ethical data sourcing practices and transparent documentation of any modifications made to the dataset ensures integrity in the analysis.</w:t>
      </w:r>
      <w:r>
        <w:rPr>
          <w:rFonts w:ascii="Calibri" w:hAnsi="Calibri" w:cs="Calibri"/>
          <w:sz w:val="24"/>
          <w:szCs w:val="24"/>
        </w:rPr>
        <w:t xml:space="preserve"> These changes should always be made aware to the audience.</w:t>
      </w:r>
    </w:p>
    <w:p w14:paraId="362CA23F" w14:textId="77777777" w:rsidR="00CE1EA5" w:rsidRDefault="00CE1EA5" w:rsidP="0023656C">
      <w:pPr>
        <w:spacing w:line="480" w:lineRule="auto"/>
        <w:rPr>
          <w:rFonts w:ascii="Calibri" w:hAnsi="Calibri" w:cs="Calibri"/>
          <w:sz w:val="24"/>
          <w:szCs w:val="24"/>
        </w:rPr>
      </w:pPr>
    </w:p>
    <w:p w14:paraId="6D0901CE" w14:textId="31BE86C0" w:rsidR="00175559" w:rsidRDefault="00175559" w:rsidP="00CE1EA5">
      <w:pPr>
        <w:pStyle w:val="Heading1"/>
      </w:pPr>
      <w:r>
        <w:t>Lessons Learned</w:t>
      </w:r>
    </w:p>
    <w:p w14:paraId="30CC9A29" w14:textId="0137C3FF" w:rsidR="00CE1EA5" w:rsidRPr="00CE1EA5" w:rsidRDefault="00CE1EA5" w:rsidP="00CE1EA5">
      <w:pPr>
        <w:spacing w:line="480" w:lineRule="auto"/>
        <w:rPr>
          <w:rFonts w:ascii="Calibri" w:hAnsi="Calibri" w:cs="Calibri"/>
          <w:sz w:val="24"/>
          <w:szCs w:val="24"/>
        </w:rPr>
      </w:pPr>
      <w:r w:rsidRPr="00CE1EA5">
        <w:rPr>
          <w:rFonts w:ascii="Calibri" w:hAnsi="Calibri" w:cs="Calibri"/>
          <w:b/>
          <w:bCs/>
          <w:sz w:val="24"/>
          <w:szCs w:val="24"/>
        </w:rPr>
        <w:t>What Would You Do Differently?</w:t>
      </w:r>
    </w:p>
    <w:p w14:paraId="3442D323" w14:textId="18CBC113" w:rsidR="00CE1EA5" w:rsidRPr="00CE1EA5" w:rsidRDefault="00CE1EA5" w:rsidP="00CE1EA5">
      <w:pPr>
        <w:numPr>
          <w:ilvl w:val="0"/>
          <w:numId w:val="18"/>
        </w:numPr>
        <w:spacing w:line="480" w:lineRule="auto"/>
        <w:rPr>
          <w:rFonts w:ascii="Calibri" w:hAnsi="Calibri" w:cs="Calibri"/>
          <w:sz w:val="24"/>
          <w:szCs w:val="24"/>
        </w:rPr>
      </w:pPr>
      <w:r w:rsidRPr="00CE1EA5">
        <w:rPr>
          <w:rFonts w:ascii="Calibri" w:hAnsi="Calibri" w:cs="Calibri"/>
          <w:sz w:val="24"/>
          <w:szCs w:val="24"/>
        </w:rPr>
        <w:t>In the future, I would better understand the data collection methods early on to mitigate uncertainties around potential biases or missing data.</w:t>
      </w:r>
      <w:r>
        <w:rPr>
          <w:rFonts w:ascii="Calibri" w:hAnsi="Calibri" w:cs="Calibri"/>
          <w:sz w:val="24"/>
          <w:szCs w:val="24"/>
        </w:rPr>
        <w:t xml:space="preserve"> I felt learning about the topic I was working on provided me a greater understanding of the data and how best to approach designing visualization elements. I would recommend taking a couple days to research the topic and maybe spending more time understanding the reference material.</w:t>
      </w:r>
    </w:p>
    <w:p w14:paraId="02AAC10E" w14:textId="71762122" w:rsidR="00CE1EA5" w:rsidRPr="00CE1EA5" w:rsidRDefault="00CE1EA5" w:rsidP="00CE1EA5">
      <w:pPr>
        <w:spacing w:line="480" w:lineRule="auto"/>
        <w:rPr>
          <w:rFonts w:ascii="Calibri" w:hAnsi="Calibri" w:cs="Calibri"/>
          <w:sz w:val="24"/>
          <w:szCs w:val="24"/>
        </w:rPr>
      </w:pPr>
      <w:r w:rsidRPr="00CE1EA5">
        <w:rPr>
          <w:rFonts w:ascii="Calibri" w:hAnsi="Calibri" w:cs="Calibri"/>
          <w:b/>
          <w:bCs/>
          <w:sz w:val="24"/>
          <w:szCs w:val="24"/>
        </w:rPr>
        <w:t>What Did You Enjoy the Most?</w:t>
      </w:r>
    </w:p>
    <w:p w14:paraId="447FD222" w14:textId="40B1D3A0" w:rsidR="00CE1EA5" w:rsidRPr="00CE1EA5" w:rsidRDefault="00CE1EA5" w:rsidP="0023656C">
      <w:pPr>
        <w:numPr>
          <w:ilvl w:val="0"/>
          <w:numId w:val="19"/>
        </w:numPr>
        <w:spacing w:line="480" w:lineRule="auto"/>
        <w:rPr>
          <w:rFonts w:ascii="Calibri" w:hAnsi="Calibri" w:cs="Calibri"/>
          <w:sz w:val="24"/>
          <w:szCs w:val="24"/>
        </w:rPr>
      </w:pPr>
      <w:r w:rsidRPr="00CE1EA5">
        <w:rPr>
          <w:rFonts w:ascii="Calibri" w:hAnsi="Calibri" w:cs="Calibri"/>
          <w:sz w:val="24"/>
          <w:szCs w:val="24"/>
        </w:rPr>
        <w:t xml:space="preserve">I enjoyed creating the visualizations and seeing the data come to life, </w:t>
      </w:r>
      <w:r>
        <w:rPr>
          <w:rFonts w:ascii="Calibri" w:hAnsi="Calibri" w:cs="Calibri"/>
          <w:sz w:val="24"/>
          <w:szCs w:val="24"/>
        </w:rPr>
        <w:t>it was difficult at first not understanding what some of the columns in the data represented or understanding how those numbers impacted anything. After learning about the topic, it was fun to make predictions before making a visual and trying to guess what would happen and seeing if my guess was correct or not. Being able to shape the story how I felt best was fun.</w:t>
      </w:r>
    </w:p>
    <w:sectPr w:rsidR="00CE1EA5" w:rsidRPr="00CE1E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97964" w14:textId="77777777" w:rsidR="00CE35FE" w:rsidRDefault="00CE35FE" w:rsidP="0023656C">
      <w:pPr>
        <w:spacing w:after="0" w:line="240" w:lineRule="auto"/>
      </w:pPr>
      <w:r>
        <w:separator/>
      </w:r>
    </w:p>
  </w:endnote>
  <w:endnote w:type="continuationSeparator" w:id="0">
    <w:p w14:paraId="7FC8C820" w14:textId="77777777" w:rsidR="00CE35FE" w:rsidRDefault="00CE35FE" w:rsidP="0023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DDE6E" w14:textId="77777777" w:rsidR="00CE35FE" w:rsidRDefault="00CE35FE" w:rsidP="0023656C">
      <w:pPr>
        <w:spacing w:after="0" w:line="240" w:lineRule="auto"/>
      </w:pPr>
      <w:r>
        <w:separator/>
      </w:r>
    </w:p>
  </w:footnote>
  <w:footnote w:type="continuationSeparator" w:id="0">
    <w:p w14:paraId="717A2E1C" w14:textId="77777777" w:rsidR="00CE35FE" w:rsidRDefault="00CE35FE" w:rsidP="00236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26C61" w14:textId="77777777" w:rsidR="0023656C" w:rsidRDefault="0023656C" w:rsidP="0023656C">
    <w:pPr>
      <w:pStyle w:val="Header"/>
      <w:jc w:val="right"/>
    </w:pPr>
    <w:r>
      <w:t>Joseph Damico</w:t>
    </w:r>
  </w:p>
  <w:p w14:paraId="1D647AAA" w14:textId="79335CD6" w:rsidR="0023656C" w:rsidRDefault="00CE1EA5" w:rsidP="0023656C">
    <w:pPr>
      <w:pStyle w:val="Header"/>
      <w:jc w:val="right"/>
    </w:pPr>
    <w:r>
      <w:t>1</w:t>
    </w:r>
    <w:r w:rsidR="0072474A">
      <w:t>1/17</w:t>
    </w:r>
    <w:r w:rsidR="0023656C">
      <w:t>/2024</w:t>
    </w:r>
  </w:p>
  <w:p w14:paraId="32C292CA" w14:textId="01109C85" w:rsidR="0023656C" w:rsidRDefault="0023656C" w:rsidP="0023656C">
    <w:pPr>
      <w:pStyle w:val="Header"/>
      <w:jc w:val="right"/>
    </w:pPr>
    <w:r>
      <w:t>Data Presentation &amp; Visualization</w:t>
    </w:r>
  </w:p>
  <w:p w14:paraId="6D8630B6" w14:textId="58AACD0E" w:rsidR="0023656C" w:rsidRPr="003A3555" w:rsidRDefault="0023656C" w:rsidP="0023656C">
    <w:pPr>
      <w:pStyle w:val="Header"/>
      <w:jc w:val="right"/>
    </w:pPr>
    <w:r w:rsidRPr="003A3555">
      <w:t>DSC6</w:t>
    </w:r>
    <w:r>
      <w:t>40</w:t>
    </w:r>
    <w:r w:rsidRPr="003A3555">
      <w:t>-T301 (2251-1)</w:t>
    </w:r>
  </w:p>
  <w:p w14:paraId="673EB621" w14:textId="77777777" w:rsidR="0023656C" w:rsidRDefault="00236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1795"/>
    <w:multiLevelType w:val="multilevel"/>
    <w:tmpl w:val="B6EC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9346B"/>
    <w:multiLevelType w:val="multilevel"/>
    <w:tmpl w:val="5432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879A1"/>
    <w:multiLevelType w:val="hybridMultilevel"/>
    <w:tmpl w:val="F1888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80A3B"/>
    <w:multiLevelType w:val="multilevel"/>
    <w:tmpl w:val="547A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A37B4"/>
    <w:multiLevelType w:val="hybridMultilevel"/>
    <w:tmpl w:val="4E240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82792"/>
    <w:multiLevelType w:val="multilevel"/>
    <w:tmpl w:val="9E68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61992"/>
    <w:multiLevelType w:val="multilevel"/>
    <w:tmpl w:val="5152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61319"/>
    <w:multiLevelType w:val="multilevel"/>
    <w:tmpl w:val="A688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11D1A"/>
    <w:multiLevelType w:val="multilevel"/>
    <w:tmpl w:val="4DC8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3674A"/>
    <w:multiLevelType w:val="multilevel"/>
    <w:tmpl w:val="77CA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646FB"/>
    <w:multiLevelType w:val="multilevel"/>
    <w:tmpl w:val="BD5A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571E4"/>
    <w:multiLevelType w:val="multilevel"/>
    <w:tmpl w:val="1F5E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570B5"/>
    <w:multiLevelType w:val="multilevel"/>
    <w:tmpl w:val="61DE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CB31AD"/>
    <w:multiLevelType w:val="multilevel"/>
    <w:tmpl w:val="FB9E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D379E"/>
    <w:multiLevelType w:val="multilevel"/>
    <w:tmpl w:val="EB42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30414"/>
    <w:multiLevelType w:val="multilevel"/>
    <w:tmpl w:val="3BC6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31145"/>
    <w:multiLevelType w:val="multilevel"/>
    <w:tmpl w:val="82F4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066FF"/>
    <w:multiLevelType w:val="multilevel"/>
    <w:tmpl w:val="13F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1F7F48"/>
    <w:multiLevelType w:val="multilevel"/>
    <w:tmpl w:val="852A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79278">
    <w:abstractNumId w:val="0"/>
  </w:num>
  <w:num w:numId="2" w16cid:durableId="1945074320">
    <w:abstractNumId w:val="12"/>
  </w:num>
  <w:num w:numId="3" w16cid:durableId="1634796799">
    <w:abstractNumId w:val="11"/>
  </w:num>
  <w:num w:numId="4" w16cid:durableId="850294525">
    <w:abstractNumId w:val="15"/>
  </w:num>
  <w:num w:numId="5" w16cid:durableId="416757020">
    <w:abstractNumId w:val="3"/>
  </w:num>
  <w:num w:numId="6" w16cid:durableId="403260617">
    <w:abstractNumId w:val="17"/>
  </w:num>
  <w:num w:numId="7" w16cid:durableId="1425998180">
    <w:abstractNumId w:val="1"/>
  </w:num>
  <w:num w:numId="8" w16cid:durableId="330063307">
    <w:abstractNumId w:val="18"/>
  </w:num>
  <w:num w:numId="9" w16cid:durableId="489251032">
    <w:abstractNumId w:val="2"/>
  </w:num>
  <w:num w:numId="10" w16cid:durableId="720715294">
    <w:abstractNumId w:val="6"/>
  </w:num>
  <w:num w:numId="11" w16cid:durableId="870340935">
    <w:abstractNumId w:val="9"/>
  </w:num>
  <w:num w:numId="12" w16cid:durableId="1072972633">
    <w:abstractNumId w:val="10"/>
  </w:num>
  <w:num w:numId="13" w16cid:durableId="868419164">
    <w:abstractNumId w:val="16"/>
  </w:num>
  <w:num w:numId="14" w16cid:durableId="2117870444">
    <w:abstractNumId w:val="8"/>
  </w:num>
  <w:num w:numId="15" w16cid:durableId="193076104">
    <w:abstractNumId w:val="5"/>
  </w:num>
  <w:num w:numId="16" w16cid:durableId="1876775197">
    <w:abstractNumId w:val="13"/>
  </w:num>
  <w:num w:numId="17" w16cid:durableId="1951162458">
    <w:abstractNumId w:val="4"/>
  </w:num>
  <w:num w:numId="18" w16cid:durableId="846015394">
    <w:abstractNumId w:val="14"/>
  </w:num>
  <w:num w:numId="19" w16cid:durableId="309017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6C"/>
    <w:rsid w:val="000423CD"/>
    <w:rsid w:val="000C37ED"/>
    <w:rsid w:val="00175559"/>
    <w:rsid w:val="00203BB5"/>
    <w:rsid w:val="0023656C"/>
    <w:rsid w:val="003211A1"/>
    <w:rsid w:val="0072474A"/>
    <w:rsid w:val="007B406D"/>
    <w:rsid w:val="009727A8"/>
    <w:rsid w:val="009A45C5"/>
    <w:rsid w:val="00A54CB6"/>
    <w:rsid w:val="00C9389D"/>
    <w:rsid w:val="00CE1EA5"/>
    <w:rsid w:val="00CE35FE"/>
    <w:rsid w:val="00F60867"/>
    <w:rsid w:val="00F9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B052"/>
  <w15:chartTrackingRefBased/>
  <w15:docId w15:val="{6634EB95-C676-4842-B872-B0AB3608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6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6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56C"/>
    <w:rPr>
      <w:rFonts w:eastAsiaTheme="majorEastAsia" w:cstheme="majorBidi"/>
      <w:color w:val="272727" w:themeColor="text1" w:themeTint="D8"/>
    </w:rPr>
  </w:style>
  <w:style w:type="paragraph" w:styleId="Title">
    <w:name w:val="Title"/>
    <w:basedOn w:val="Normal"/>
    <w:next w:val="Normal"/>
    <w:link w:val="TitleChar"/>
    <w:uiPriority w:val="10"/>
    <w:qFormat/>
    <w:rsid w:val="00236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56C"/>
    <w:pPr>
      <w:spacing w:before="160"/>
      <w:jc w:val="center"/>
    </w:pPr>
    <w:rPr>
      <w:i/>
      <w:iCs/>
      <w:color w:val="404040" w:themeColor="text1" w:themeTint="BF"/>
    </w:rPr>
  </w:style>
  <w:style w:type="character" w:customStyle="1" w:styleId="QuoteChar">
    <w:name w:val="Quote Char"/>
    <w:basedOn w:val="DefaultParagraphFont"/>
    <w:link w:val="Quote"/>
    <w:uiPriority w:val="29"/>
    <w:rsid w:val="0023656C"/>
    <w:rPr>
      <w:i/>
      <w:iCs/>
      <w:color w:val="404040" w:themeColor="text1" w:themeTint="BF"/>
    </w:rPr>
  </w:style>
  <w:style w:type="paragraph" w:styleId="ListParagraph">
    <w:name w:val="List Paragraph"/>
    <w:basedOn w:val="Normal"/>
    <w:uiPriority w:val="34"/>
    <w:qFormat/>
    <w:rsid w:val="0023656C"/>
    <w:pPr>
      <w:ind w:left="720"/>
      <w:contextualSpacing/>
    </w:pPr>
  </w:style>
  <w:style w:type="character" w:styleId="IntenseEmphasis">
    <w:name w:val="Intense Emphasis"/>
    <w:basedOn w:val="DefaultParagraphFont"/>
    <w:uiPriority w:val="21"/>
    <w:qFormat/>
    <w:rsid w:val="0023656C"/>
    <w:rPr>
      <w:i/>
      <w:iCs/>
      <w:color w:val="0F4761" w:themeColor="accent1" w:themeShade="BF"/>
    </w:rPr>
  </w:style>
  <w:style w:type="paragraph" w:styleId="IntenseQuote">
    <w:name w:val="Intense Quote"/>
    <w:basedOn w:val="Normal"/>
    <w:next w:val="Normal"/>
    <w:link w:val="IntenseQuoteChar"/>
    <w:uiPriority w:val="30"/>
    <w:qFormat/>
    <w:rsid w:val="00236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56C"/>
    <w:rPr>
      <w:i/>
      <w:iCs/>
      <w:color w:val="0F4761" w:themeColor="accent1" w:themeShade="BF"/>
    </w:rPr>
  </w:style>
  <w:style w:type="character" w:styleId="IntenseReference">
    <w:name w:val="Intense Reference"/>
    <w:basedOn w:val="DefaultParagraphFont"/>
    <w:uiPriority w:val="32"/>
    <w:qFormat/>
    <w:rsid w:val="0023656C"/>
    <w:rPr>
      <w:b/>
      <w:bCs/>
      <w:smallCaps/>
      <w:color w:val="0F4761" w:themeColor="accent1" w:themeShade="BF"/>
      <w:spacing w:val="5"/>
    </w:rPr>
  </w:style>
  <w:style w:type="paragraph" w:styleId="Header">
    <w:name w:val="header"/>
    <w:basedOn w:val="Normal"/>
    <w:link w:val="HeaderChar"/>
    <w:uiPriority w:val="99"/>
    <w:unhideWhenUsed/>
    <w:rsid w:val="00236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56C"/>
  </w:style>
  <w:style w:type="paragraph" w:styleId="Footer">
    <w:name w:val="footer"/>
    <w:basedOn w:val="Normal"/>
    <w:link w:val="FooterChar"/>
    <w:uiPriority w:val="99"/>
    <w:unhideWhenUsed/>
    <w:rsid w:val="00236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942278">
      <w:bodyDiv w:val="1"/>
      <w:marLeft w:val="0"/>
      <w:marRight w:val="0"/>
      <w:marTop w:val="0"/>
      <w:marBottom w:val="0"/>
      <w:divBdr>
        <w:top w:val="none" w:sz="0" w:space="0" w:color="auto"/>
        <w:left w:val="none" w:sz="0" w:space="0" w:color="auto"/>
        <w:bottom w:val="none" w:sz="0" w:space="0" w:color="auto"/>
        <w:right w:val="none" w:sz="0" w:space="0" w:color="auto"/>
      </w:divBdr>
    </w:div>
    <w:div w:id="458452285">
      <w:bodyDiv w:val="1"/>
      <w:marLeft w:val="0"/>
      <w:marRight w:val="0"/>
      <w:marTop w:val="0"/>
      <w:marBottom w:val="0"/>
      <w:divBdr>
        <w:top w:val="none" w:sz="0" w:space="0" w:color="auto"/>
        <w:left w:val="none" w:sz="0" w:space="0" w:color="auto"/>
        <w:bottom w:val="none" w:sz="0" w:space="0" w:color="auto"/>
        <w:right w:val="none" w:sz="0" w:space="0" w:color="auto"/>
      </w:divBdr>
    </w:div>
    <w:div w:id="956912938">
      <w:bodyDiv w:val="1"/>
      <w:marLeft w:val="0"/>
      <w:marRight w:val="0"/>
      <w:marTop w:val="0"/>
      <w:marBottom w:val="0"/>
      <w:divBdr>
        <w:top w:val="none" w:sz="0" w:space="0" w:color="auto"/>
        <w:left w:val="none" w:sz="0" w:space="0" w:color="auto"/>
        <w:bottom w:val="none" w:sz="0" w:space="0" w:color="auto"/>
        <w:right w:val="none" w:sz="0" w:space="0" w:color="auto"/>
      </w:divBdr>
    </w:div>
    <w:div w:id="1103451337">
      <w:bodyDiv w:val="1"/>
      <w:marLeft w:val="0"/>
      <w:marRight w:val="0"/>
      <w:marTop w:val="0"/>
      <w:marBottom w:val="0"/>
      <w:divBdr>
        <w:top w:val="none" w:sz="0" w:space="0" w:color="auto"/>
        <w:left w:val="none" w:sz="0" w:space="0" w:color="auto"/>
        <w:bottom w:val="none" w:sz="0" w:space="0" w:color="auto"/>
        <w:right w:val="none" w:sz="0" w:space="0" w:color="auto"/>
      </w:divBdr>
    </w:div>
    <w:div w:id="1361589156">
      <w:bodyDiv w:val="1"/>
      <w:marLeft w:val="0"/>
      <w:marRight w:val="0"/>
      <w:marTop w:val="0"/>
      <w:marBottom w:val="0"/>
      <w:divBdr>
        <w:top w:val="none" w:sz="0" w:space="0" w:color="auto"/>
        <w:left w:val="none" w:sz="0" w:space="0" w:color="auto"/>
        <w:bottom w:val="none" w:sz="0" w:space="0" w:color="auto"/>
        <w:right w:val="none" w:sz="0" w:space="0" w:color="auto"/>
      </w:divBdr>
    </w:div>
    <w:div w:id="1378309611">
      <w:bodyDiv w:val="1"/>
      <w:marLeft w:val="0"/>
      <w:marRight w:val="0"/>
      <w:marTop w:val="0"/>
      <w:marBottom w:val="0"/>
      <w:divBdr>
        <w:top w:val="none" w:sz="0" w:space="0" w:color="auto"/>
        <w:left w:val="none" w:sz="0" w:space="0" w:color="auto"/>
        <w:bottom w:val="none" w:sz="0" w:space="0" w:color="auto"/>
        <w:right w:val="none" w:sz="0" w:space="0" w:color="auto"/>
      </w:divBdr>
    </w:div>
    <w:div w:id="1404452007">
      <w:bodyDiv w:val="1"/>
      <w:marLeft w:val="0"/>
      <w:marRight w:val="0"/>
      <w:marTop w:val="0"/>
      <w:marBottom w:val="0"/>
      <w:divBdr>
        <w:top w:val="none" w:sz="0" w:space="0" w:color="auto"/>
        <w:left w:val="none" w:sz="0" w:space="0" w:color="auto"/>
        <w:bottom w:val="none" w:sz="0" w:space="0" w:color="auto"/>
        <w:right w:val="none" w:sz="0" w:space="0" w:color="auto"/>
      </w:divBdr>
    </w:div>
    <w:div w:id="153769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Damico</dc:creator>
  <cp:keywords/>
  <dc:description/>
  <cp:lastModifiedBy>Joseph Damico</cp:lastModifiedBy>
  <cp:revision>2</cp:revision>
  <dcterms:created xsi:type="dcterms:W3CDTF">2024-11-17T16:14:00Z</dcterms:created>
  <dcterms:modified xsi:type="dcterms:W3CDTF">2024-11-17T16:14:00Z</dcterms:modified>
</cp:coreProperties>
</file>