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4E37" w14:textId="0404B355" w:rsidR="00CD0FDC" w:rsidRPr="005A56A2" w:rsidRDefault="009143FB">
      <w:pPr>
        <w:rPr>
          <w:b/>
          <w:bCs/>
        </w:rPr>
      </w:pPr>
      <w:r w:rsidRPr="005A56A2">
        <w:rPr>
          <w:b/>
          <w:bCs/>
        </w:rPr>
        <w:t>MATH 132M</w:t>
      </w:r>
      <w:r w:rsidRPr="005A56A2">
        <w:rPr>
          <w:b/>
          <w:bCs/>
        </w:rPr>
        <w:tab/>
        <w:t>Business Math</w:t>
      </w:r>
      <w:r w:rsidRPr="005A56A2">
        <w:rPr>
          <w:b/>
          <w:bCs/>
        </w:rPr>
        <w:tab/>
      </w:r>
      <w:r w:rsidRPr="005A56A2">
        <w:rPr>
          <w:b/>
          <w:bCs/>
        </w:rPr>
        <w:tab/>
        <w:t>Topic: Depreciation of an Asset</w:t>
      </w:r>
    </w:p>
    <w:p w14:paraId="6401100F" w14:textId="77777777" w:rsidR="009143FB" w:rsidRDefault="009143FB"/>
    <w:p w14:paraId="6FC955AF" w14:textId="11E578D0" w:rsidR="009143FB" w:rsidRDefault="00EC445F">
      <w:r>
        <w:t xml:space="preserve">For your study, please read the entire article titled </w:t>
      </w:r>
      <w:r w:rsidRPr="00EC445F">
        <w:rPr>
          <w:i/>
          <w:iCs/>
        </w:rPr>
        <w:t>Depreciation: Definition and Types, With Calculation Examples</w:t>
      </w:r>
      <w:r>
        <w:rPr>
          <w:rStyle w:val="FootnoteReference"/>
          <w:i/>
          <w:iCs/>
        </w:rPr>
        <w:footnoteReference w:id="1"/>
      </w:r>
      <w:r>
        <w:t xml:space="preserve"> </w:t>
      </w:r>
      <w:hyperlink r:id="rId7" w:history="1">
        <w:r w:rsidR="00AB0AD5" w:rsidRPr="00B40C59">
          <w:rPr>
            <w:rStyle w:val="Hyperlink"/>
          </w:rPr>
          <w:t>https://www.investopedia.com/terms/d/depreciation.asp</w:t>
        </w:r>
      </w:hyperlink>
    </w:p>
    <w:p w14:paraId="658FB445" w14:textId="77777777" w:rsidR="00AB0AD5" w:rsidRDefault="00AB0AD5"/>
    <w:p w14:paraId="11AB2B78" w14:textId="115EB7C3" w:rsidR="00AB0AD5" w:rsidRDefault="00AB0AD5">
      <w:pPr>
        <w:rPr>
          <w:i/>
          <w:iCs/>
        </w:rPr>
      </w:pPr>
      <w:r>
        <w:t>What is a tangible or physical asset in a business?</w:t>
      </w:r>
      <w:r w:rsidR="001643E8">
        <w:t xml:space="preserve"> </w:t>
      </w:r>
      <w:r w:rsidR="001643E8" w:rsidRPr="001643E8">
        <w:rPr>
          <w:i/>
          <w:iCs/>
        </w:rPr>
        <w:t>A physical asset is something that has a use or function in a business (like machinery, equipment, tools, furniture, workspaces).</w:t>
      </w:r>
    </w:p>
    <w:p w14:paraId="6936F000" w14:textId="77777777" w:rsidR="001753D8" w:rsidRDefault="001753D8"/>
    <w:p w14:paraId="5273AFCB" w14:textId="63A52F1C" w:rsidR="00AB0AD5" w:rsidRDefault="00AB0AD5">
      <w:pPr>
        <w:rPr>
          <w:i/>
          <w:iCs/>
        </w:rPr>
      </w:pPr>
      <w:r>
        <w:t>What does it mean for something to depreciate?</w:t>
      </w:r>
      <w:r w:rsidR="001643E8">
        <w:t xml:space="preserve"> </w:t>
      </w:r>
      <w:r w:rsidR="001643E8" w:rsidRPr="001643E8">
        <w:rPr>
          <w:i/>
          <w:iCs/>
        </w:rPr>
        <w:t>Physical assets tend to decline in value over time. They have a limited useful life and eventually need to be repaired or replaced.</w:t>
      </w:r>
      <w:r w:rsidR="001753D8">
        <w:rPr>
          <w:i/>
          <w:iCs/>
        </w:rPr>
        <w:t xml:space="preserve"> </w:t>
      </w:r>
      <w:r w:rsidR="005A56A2">
        <w:rPr>
          <w:i/>
          <w:iCs/>
        </w:rPr>
        <w:t>Depreciation is a way to measure how much of an asset’s value has been lost (or used) in a span of time.</w:t>
      </w:r>
    </w:p>
    <w:p w14:paraId="16E3DACB" w14:textId="77777777" w:rsidR="001753D8" w:rsidRDefault="001753D8"/>
    <w:p w14:paraId="130BACA1" w14:textId="219F5B8D" w:rsidR="00AB0AD5" w:rsidRDefault="001643E8">
      <w:pPr>
        <w:rPr>
          <w:i/>
          <w:iCs/>
        </w:rPr>
      </w:pPr>
      <w:r>
        <w:t>Name two reasons businesses use depreciation to record the cost of an asset.</w:t>
      </w:r>
      <w:r w:rsidR="001753D8">
        <w:t xml:space="preserve"> </w:t>
      </w:r>
      <w:r w:rsidR="001753D8" w:rsidRPr="001753D8">
        <w:rPr>
          <w:i/>
          <w:iCs/>
        </w:rPr>
        <w:t xml:space="preserve">One reason is that the IRS requires following a depreciation schedule for tax purposes. The other reason is that businesses can move the asset’s cost from the balance sheet to the income statement (since the cost of the asset </w:t>
      </w:r>
      <w:r w:rsidR="005A56A2">
        <w:rPr>
          <w:i/>
          <w:iCs/>
        </w:rPr>
        <w:t>reduces</w:t>
      </w:r>
      <w:r w:rsidR="001753D8" w:rsidRPr="001753D8">
        <w:rPr>
          <w:i/>
          <w:iCs/>
        </w:rPr>
        <w:t xml:space="preserve"> income/profit</w:t>
      </w:r>
      <w:r w:rsidR="005A56A2">
        <w:rPr>
          <w:i/>
          <w:iCs/>
        </w:rPr>
        <w:t>)</w:t>
      </w:r>
      <w:r w:rsidR="001753D8" w:rsidRPr="001753D8">
        <w:rPr>
          <w:i/>
          <w:iCs/>
        </w:rPr>
        <w:t xml:space="preserve">. </w:t>
      </w:r>
    </w:p>
    <w:p w14:paraId="49500570" w14:textId="77777777" w:rsidR="001753D8" w:rsidRDefault="001753D8">
      <w:pPr>
        <w:rPr>
          <w:i/>
          <w:iCs/>
        </w:rPr>
      </w:pPr>
    </w:p>
    <w:p w14:paraId="3861E022" w14:textId="685C525A" w:rsidR="001753D8" w:rsidRDefault="005A56A2">
      <w:r>
        <w:t xml:space="preserve">Some </w:t>
      </w:r>
      <w:r w:rsidRPr="009A2B5D">
        <w:rPr>
          <w:b/>
          <w:bCs/>
          <w:i/>
          <w:iCs/>
        </w:rPr>
        <w:t>shorthand notation</w:t>
      </w:r>
      <w:r>
        <w:t xml:space="preserve"> we will be using:</w:t>
      </w:r>
    </w:p>
    <w:p w14:paraId="28C11CCA" w14:textId="77777777" w:rsidR="005A56A2" w:rsidRDefault="005A56A2"/>
    <w:p w14:paraId="5F761802" w14:textId="77777777" w:rsidR="005A56A2" w:rsidRDefault="005A56A2">
      <w:r w:rsidRPr="009A2B5D">
        <w:rPr>
          <w:rFonts w:ascii="Cambria Math" w:hAnsi="Cambria Math"/>
          <w:b/>
          <w:bCs/>
          <w:i/>
          <w:iCs/>
        </w:rPr>
        <w:t>OC</w:t>
      </w:r>
      <w:r w:rsidRPr="00C37A18">
        <w:rPr>
          <w:b/>
          <w:bCs/>
        </w:rPr>
        <w:t xml:space="preserve"> </w:t>
      </w:r>
      <w:r>
        <w:t>= original cost (what the asset cost as “new”)</w:t>
      </w:r>
    </w:p>
    <w:p w14:paraId="5362D55F" w14:textId="778A768E" w:rsidR="005A56A2" w:rsidRDefault="005A56A2">
      <w:r w:rsidRPr="009A2B5D">
        <w:rPr>
          <w:rFonts w:ascii="Cambria Math" w:hAnsi="Cambria Math"/>
          <w:b/>
          <w:bCs/>
          <w:i/>
          <w:iCs/>
        </w:rPr>
        <w:t>SV</w:t>
      </w:r>
      <w:r>
        <w:t xml:space="preserve"> = salvage value (what the asset will be worth at the end of its useful lifespan)</w:t>
      </w:r>
    </w:p>
    <w:p w14:paraId="5924C681" w14:textId="4CDFF7E1" w:rsidR="005A56A2" w:rsidRDefault="005A56A2">
      <w:r w:rsidRPr="009A2B5D">
        <w:rPr>
          <w:rFonts w:ascii="Cambria Math" w:hAnsi="Cambria Math"/>
          <w:b/>
          <w:bCs/>
          <w:i/>
          <w:iCs/>
        </w:rPr>
        <w:t>BV</w:t>
      </w:r>
      <w:r>
        <w:t xml:space="preserve"> = book value, or “carrying value”</w:t>
      </w:r>
      <w:r w:rsidR="00C37A18">
        <w:t xml:space="preserve"> (original cost – accumulated depreciation) from the </w:t>
      </w:r>
      <w:r w:rsidR="00C37A18" w:rsidRPr="00C37A18">
        <w:rPr>
          <w:b/>
          <w:bCs/>
          <w:i/>
          <w:iCs/>
        </w:rPr>
        <w:t>previous year</w:t>
      </w:r>
    </w:p>
    <w:p w14:paraId="29C461BD" w14:textId="33900084" w:rsidR="005A56A2" w:rsidRDefault="005A56A2">
      <w:r w:rsidRPr="009A2B5D">
        <w:rPr>
          <w:rFonts w:ascii="Cambria Math" w:hAnsi="Cambria Math"/>
          <w:b/>
          <w:bCs/>
          <w:i/>
          <w:iCs/>
        </w:rPr>
        <w:t>N</w:t>
      </w:r>
      <w:r w:rsidRPr="00C37A18">
        <w:rPr>
          <w:b/>
          <w:bCs/>
        </w:rPr>
        <w:t xml:space="preserve"> </w:t>
      </w:r>
      <w:r>
        <w:t>= life span in years</w:t>
      </w:r>
    </w:p>
    <w:p w14:paraId="160DA7AF" w14:textId="3C73B9EA" w:rsidR="005A56A2" w:rsidRPr="00D11423" w:rsidRDefault="005A56A2">
      <w:r w:rsidRPr="009A2B5D">
        <w:rPr>
          <w:rFonts w:ascii="Cambria Math" w:hAnsi="Cambria Math"/>
          <w:b/>
          <w:bCs/>
          <w:i/>
          <w:iCs/>
        </w:rPr>
        <w:t>X</w:t>
      </w:r>
      <w:r w:rsidRPr="009A2B5D">
        <w:rPr>
          <w:rFonts w:ascii="Cambria Math" w:hAnsi="Cambria Math"/>
          <w:i/>
          <w:iCs/>
        </w:rPr>
        <w:t xml:space="preserve"> </w:t>
      </w:r>
      <w:r>
        <w:t xml:space="preserve">= how much useful life (in years) </w:t>
      </w:r>
      <w:r w:rsidRPr="00C37A18">
        <w:rPr>
          <w:b/>
          <w:bCs/>
          <w:i/>
          <w:iCs/>
        </w:rPr>
        <w:t>remains</w:t>
      </w:r>
      <w:r w:rsidR="00D11423">
        <w:rPr>
          <w:b/>
          <w:bCs/>
          <w:i/>
          <w:iCs/>
        </w:rPr>
        <w:t xml:space="preserve"> </w:t>
      </w:r>
      <w:r w:rsidR="00D11423" w:rsidRPr="00D11423">
        <w:t>(including the current year)</w:t>
      </w:r>
    </w:p>
    <w:p w14:paraId="3D6BBA88" w14:textId="2010F26C" w:rsidR="00C37A18" w:rsidRDefault="00C37A18">
      <w:pPr>
        <w:rPr>
          <w:rFonts w:eastAsiaTheme="minorEastAsia"/>
        </w:rPr>
      </w:pPr>
      <m:oMath>
        <m:r>
          <m:rPr>
            <m:sty m:val="b"/>
          </m:rPr>
          <w:rPr>
            <w:rFonts w:ascii="Cambria Math" w:hAnsi="Cambria Math"/>
            <w:sz w:val="28"/>
            <w:szCs w:val="28"/>
          </w:rPr>
          <m:t>Σ</m:t>
        </m:r>
      </m:oMath>
      <w:r w:rsidRPr="009A2B5D">
        <w:rPr>
          <w:rFonts w:eastAsiaTheme="minorEastAsia"/>
          <w:sz w:val="28"/>
          <w:szCs w:val="28"/>
        </w:rPr>
        <w:t xml:space="preserve"> </w:t>
      </w:r>
      <w:r>
        <w:rPr>
          <w:rFonts w:eastAsiaTheme="minorEastAsia"/>
        </w:rPr>
        <w:t xml:space="preserve">= the sum (by adding) all useful years </w:t>
      </w:r>
    </w:p>
    <w:p w14:paraId="2D3A8589" w14:textId="1A5D6385" w:rsidR="005A56A2" w:rsidRDefault="00C37A18">
      <w:pPr>
        <w:rPr>
          <w:rFonts w:eastAsiaTheme="minorEastAsia"/>
        </w:rPr>
      </w:pPr>
      <w:r>
        <w:rPr>
          <w:rFonts w:eastAsiaTheme="minorEastAsia"/>
        </w:rPr>
        <w:tab/>
        <w:t xml:space="preserve">(for example, if N = 10 then </w:t>
      </w:r>
      <m:oMath>
        <m:r>
          <m:rPr>
            <m:sty m:val="p"/>
          </m:rPr>
          <w:rPr>
            <w:rFonts w:ascii="Cambria Math" w:hAnsi="Cambria Math"/>
          </w:rPr>
          <m:t>Σ</m:t>
        </m:r>
      </m:oMath>
      <w:r>
        <w:rPr>
          <w:rFonts w:eastAsiaTheme="minorEastAsia"/>
        </w:rPr>
        <w:t xml:space="preserve"> = 1 + 2 + 3 + ... + 10 = </w:t>
      </w:r>
      <m:oMath>
        <m:f>
          <m:fPr>
            <m:ctrlPr>
              <w:rPr>
                <w:rFonts w:ascii="Cambria Math" w:eastAsiaTheme="minorEastAsia" w:hAnsi="Cambria Math"/>
                <w:i/>
              </w:rPr>
            </m:ctrlPr>
          </m:fPr>
          <m:num>
            <m:r>
              <w:rPr>
                <w:rFonts w:ascii="Cambria Math" w:eastAsiaTheme="minorEastAsia" w:hAnsi="Cambria Math"/>
              </w:rPr>
              <m:t>10×11</m:t>
            </m:r>
          </m:num>
          <m:den>
            <m:r>
              <w:rPr>
                <w:rFonts w:ascii="Cambria Math" w:eastAsiaTheme="minorEastAsia" w:hAnsi="Cambria Math"/>
              </w:rPr>
              <m:t>2</m:t>
            </m:r>
          </m:den>
        </m:f>
      </m:oMath>
      <w:r>
        <w:rPr>
          <w:rFonts w:eastAsiaTheme="minorEastAsia"/>
        </w:rPr>
        <w:t>)</w:t>
      </w:r>
    </w:p>
    <w:p w14:paraId="4FB70E3E" w14:textId="77777777" w:rsidR="00C37A18" w:rsidRDefault="00C37A18">
      <w:pPr>
        <w:rPr>
          <w:rFonts w:eastAsiaTheme="minorEastAsia"/>
        </w:rPr>
      </w:pPr>
    </w:p>
    <w:p w14:paraId="6D4548A6" w14:textId="7F748200" w:rsidR="00C37A18" w:rsidRPr="009A2B5D" w:rsidRDefault="00C37A18">
      <w:pPr>
        <w:rPr>
          <w:b/>
          <w:bCs/>
        </w:rPr>
      </w:pPr>
      <w:r w:rsidRPr="009A2B5D">
        <w:rPr>
          <w:b/>
          <w:bCs/>
        </w:rPr>
        <w:t>Formulas Needed:</w:t>
      </w:r>
    </w:p>
    <w:p w14:paraId="6E2E1212" w14:textId="77777777" w:rsidR="00C37A18" w:rsidRDefault="00C37A18"/>
    <w:p w14:paraId="357790F3" w14:textId="35397668" w:rsidR="00C37A18" w:rsidRPr="009A2B5D" w:rsidRDefault="00C37A18">
      <w:pPr>
        <w:rPr>
          <w:rFonts w:eastAsiaTheme="minorEastAsia"/>
          <w:sz w:val="28"/>
          <w:szCs w:val="28"/>
        </w:rPr>
      </w:pPr>
      <w:r>
        <w:t xml:space="preserve">Straight-line Method – </w:t>
      </w:r>
      <w:r w:rsidR="009A2B5D">
        <w:t>Depreciation Amount</w:t>
      </w:r>
      <w:r>
        <w:t xml:space="preserve"> = </w:t>
      </w:r>
      <m:oMath>
        <m:r>
          <m:rPr>
            <m:sty m:val="bi"/>
          </m:rPr>
          <w:rPr>
            <w:rFonts w:ascii="Cambria Math" w:hAnsi="Cambria Math"/>
            <w:sz w:val="28"/>
            <w:szCs w:val="28"/>
          </w:rPr>
          <m:t>(OC-SV)÷N</m:t>
        </m:r>
      </m:oMath>
    </w:p>
    <w:p w14:paraId="7EAD7868" w14:textId="77777777" w:rsidR="00C37A18" w:rsidRDefault="00C37A18">
      <w:pPr>
        <w:rPr>
          <w:rFonts w:eastAsiaTheme="minorEastAsia"/>
        </w:rPr>
      </w:pPr>
    </w:p>
    <w:p w14:paraId="4169FAB6" w14:textId="3BBEF76A" w:rsidR="00C37A18" w:rsidRDefault="00C37A18">
      <w:pPr>
        <w:rPr>
          <w:rFonts w:eastAsiaTheme="minorEastAsia"/>
          <w:b/>
          <w:bCs/>
          <w:sz w:val="28"/>
          <w:szCs w:val="28"/>
        </w:rPr>
      </w:pPr>
      <w:r>
        <w:rPr>
          <w:rFonts w:eastAsiaTheme="minorEastAsia"/>
        </w:rPr>
        <w:t xml:space="preserve">Sum-of-Digits Method – </w:t>
      </w:r>
      <w:r w:rsidR="009A2B5D">
        <w:rPr>
          <w:rFonts w:eastAsiaTheme="minorEastAsia"/>
        </w:rPr>
        <w:t xml:space="preserve">Depreciation at </w:t>
      </w:r>
      <w:r w:rsidR="009A2B5D" w:rsidRPr="009A2B5D">
        <w:rPr>
          <w:rFonts w:ascii="Cambria Math" w:eastAsiaTheme="minorEastAsia" w:hAnsi="Cambria Math"/>
          <w:b/>
          <w:bCs/>
          <w:i/>
          <w:iCs/>
          <w:sz w:val="28"/>
          <w:szCs w:val="28"/>
        </w:rPr>
        <w:t xml:space="preserve">X </w:t>
      </w:r>
      <w:r w:rsidR="009A2B5D">
        <w:rPr>
          <w:rFonts w:eastAsiaTheme="minorEastAsia"/>
        </w:rPr>
        <w:t xml:space="preserve">remaining years = </w:t>
      </w:r>
      <m:oMath>
        <m:r>
          <m:rPr>
            <m:sty m:val="bi"/>
          </m:rPr>
          <w:rPr>
            <w:rFonts w:ascii="Cambria Math" w:eastAsiaTheme="minorEastAsia" w:hAnsi="Cambria Math"/>
            <w:sz w:val="28"/>
            <w:szCs w:val="28"/>
          </w:rPr>
          <m:t>(OC-SV)×X÷</m:t>
        </m:r>
        <m:r>
          <m:rPr>
            <m:sty m:val="b"/>
          </m:rPr>
          <w:rPr>
            <w:rFonts w:ascii="Cambria Math" w:eastAsiaTheme="minorEastAsia" w:hAnsi="Cambria Math"/>
            <w:sz w:val="28"/>
            <w:szCs w:val="28"/>
          </w:rPr>
          <m:t>Σ</m:t>
        </m:r>
      </m:oMath>
    </w:p>
    <w:p w14:paraId="4210DC3F" w14:textId="43A42129" w:rsidR="007E5927" w:rsidRDefault="007E5927">
      <w:pPr>
        <w:rPr>
          <w:rFonts w:eastAsiaTheme="minorEastAsia"/>
          <w:b/>
          <w:bCs/>
        </w:rPr>
      </w:pPr>
    </w:p>
    <w:p w14:paraId="2757CB7E" w14:textId="0D13E194" w:rsidR="007E5927" w:rsidRPr="007E5927" w:rsidRDefault="007E5927">
      <w:pPr>
        <w:rPr>
          <w:rFonts w:eastAsiaTheme="minorEastAsia"/>
          <w:b/>
          <w:bCs/>
          <w:sz w:val="28"/>
          <w:szCs w:val="28"/>
        </w:rPr>
      </w:pPr>
      <w:r>
        <w:rPr>
          <w:rFonts w:eastAsiaTheme="minorEastAsia"/>
        </w:rPr>
        <w:t xml:space="preserve">Declining Method – Depreciation Amount = </w:t>
      </w:r>
      <m:oMath>
        <m:r>
          <m:rPr>
            <m:sty m:val="bi"/>
          </m:rPr>
          <w:rPr>
            <w:rFonts w:ascii="Cambria Math" w:eastAsiaTheme="minorEastAsia" w:hAnsi="Cambria Math"/>
            <w:sz w:val="28"/>
            <w:szCs w:val="28"/>
          </w:rPr>
          <m:t>BV÷N</m:t>
        </m:r>
      </m:oMath>
    </w:p>
    <w:p w14:paraId="676152A2" w14:textId="77777777" w:rsidR="009A2B5D" w:rsidRDefault="009A2B5D">
      <w:pPr>
        <w:rPr>
          <w:rFonts w:eastAsiaTheme="minorEastAsia"/>
          <w:b/>
          <w:bCs/>
        </w:rPr>
      </w:pPr>
    </w:p>
    <w:p w14:paraId="30F4F055" w14:textId="1301C926" w:rsidR="009A2B5D" w:rsidRDefault="009A2B5D">
      <w:pPr>
        <w:rPr>
          <w:rFonts w:eastAsiaTheme="minorEastAsia"/>
          <w:b/>
          <w:bCs/>
          <w:sz w:val="28"/>
          <w:szCs w:val="28"/>
        </w:rPr>
      </w:pPr>
      <w:r>
        <w:t xml:space="preserve">Double Declining Method – Depreciation Amount = </w:t>
      </w:r>
      <m:oMath>
        <m:r>
          <m:rPr>
            <m:sty m:val="bi"/>
          </m:rPr>
          <w:rPr>
            <w:rFonts w:ascii="Cambria Math" w:hAnsi="Cambria Math"/>
            <w:sz w:val="28"/>
            <w:szCs w:val="28"/>
          </w:rPr>
          <m:t>2×BV÷N</m:t>
        </m:r>
      </m:oMath>
    </w:p>
    <w:p w14:paraId="2CE0C268" w14:textId="77777777" w:rsidR="00656C5F" w:rsidRDefault="00656C5F">
      <w:pPr>
        <w:rPr>
          <w:rFonts w:eastAsiaTheme="minorEastAsia"/>
          <w:b/>
          <w:bCs/>
          <w:sz w:val="28"/>
          <w:szCs w:val="28"/>
        </w:rPr>
      </w:pPr>
    </w:p>
    <w:p w14:paraId="1C29C142" w14:textId="65A8C437" w:rsidR="009A2B5D" w:rsidRDefault="007F7E6D">
      <w:r>
        <w:t xml:space="preserve">Depreciable Base = </w:t>
      </w:r>
      <m:oMath>
        <m:r>
          <m:rPr>
            <m:sty m:val="bi"/>
          </m:rPr>
          <w:rPr>
            <w:rFonts w:ascii="Cambria Math" w:hAnsi="Cambria Math"/>
            <w:sz w:val="28"/>
            <w:szCs w:val="28"/>
          </w:rPr>
          <m:t>OC-SV</m:t>
        </m:r>
      </m:oMath>
      <w:r w:rsidR="00BA72A0">
        <w:rPr>
          <w:rFonts w:eastAsiaTheme="minorEastAsia"/>
          <w:b/>
          <w:bCs/>
          <w:sz w:val="28"/>
          <w:szCs w:val="28"/>
        </w:rPr>
        <w:tab/>
      </w:r>
      <m:oMath>
        <m:r>
          <m:rPr>
            <m:sty m:val="b"/>
          </m:rPr>
          <w:rPr>
            <w:rFonts w:ascii="Cambria Math" w:eastAsiaTheme="minorEastAsia" w:hAnsi="Cambria Math"/>
            <w:sz w:val="28"/>
            <w:szCs w:val="28"/>
          </w:rPr>
          <m:t>Σ</m:t>
        </m:r>
        <m:r>
          <m:rPr>
            <m:sty m:val="bi"/>
          </m:rPr>
          <w:rPr>
            <w:rFonts w:ascii="Cambria Math" w:eastAsiaTheme="minorEastAsia" w:hAnsi="Cambria Math"/>
            <w:sz w:val="28"/>
            <w:szCs w:val="28"/>
          </w:rPr>
          <m:t>=N×(N+1)÷2</m:t>
        </m:r>
      </m:oMath>
    </w:p>
    <w:p w14:paraId="3E24BF3E" w14:textId="77777777" w:rsidR="009A2B5D" w:rsidRDefault="009A2B5D"/>
    <w:p w14:paraId="25EDE865" w14:textId="77777777" w:rsidR="009A2B5D" w:rsidRDefault="009A2B5D"/>
    <w:p w14:paraId="1B20DC9F" w14:textId="77777777" w:rsidR="009A2B5D" w:rsidRDefault="009A2B5D"/>
    <w:p w14:paraId="19441E50" w14:textId="77777777" w:rsidR="009A2B5D" w:rsidRDefault="009A2B5D"/>
    <w:p w14:paraId="238413A5" w14:textId="77777777" w:rsidR="009A2B5D" w:rsidRDefault="009A2B5D"/>
    <w:p w14:paraId="1E68C17F" w14:textId="2C7D18AF" w:rsidR="009A2B5D" w:rsidRPr="009A2B5D" w:rsidRDefault="009A2B5D" w:rsidP="009A2B5D">
      <w:pPr>
        <w:rPr>
          <w:b/>
          <w:bCs/>
        </w:rPr>
      </w:pPr>
      <w:r w:rsidRPr="009A2B5D">
        <w:rPr>
          <w:b/>
          <w:bCs/>
        </w:rPr>
        <w:t xml:space="preserve">Example of </w:t>
      </w:r>
      <w:r>
        <w:rPr>
          <w:b/>
          <w:bCs/>
        </w:rPr>
        <w:t>Book</w:t>
      </w:r>
      <w:r w:rsidRPr="009A2B5D">
        <w:rPr>
          <w:b/>
          <w:bCs/>
        </w:rPr>
        <w:t xml:space="preserve"> Value</w:t>
      </w:r>
      <w:r w:rsidR="007E5927">
        <w:rPr>
          <w:b/>
          <w:bCs/>
        </w:rPr>
        <w:t xml:space="preserve"> (and Straight-Line Method)</w:t>
      </w:r>
    </w:p>
    <w:p w14:paraId="4071D61F" w14:textId="77777777" w:rsidR="009A2B5D" w:rsidRDefault="009A2B5D" w:rsidP="009A2B5D"/>
    <w:p w14:paraId="33D3E953" w14:textId="5628B994" w:rsidR="009A2B5D" w:rsidRPr="009A2B5D" w:rsidRDefault="009A2B5D" w:rsidP="009A2B5D">
      <w:r w:rsidRPr="009A2B5D">
        <w:t xml:space="preserve">Assume </w:t>
      </w:r>
      <w:r w:rsidR="007F7E6D">
        <w:t xml:space="preserve">CMYK Interior Painters </w:t>
      </w:r>
      <w:r w:rsidRPr="009A2B5D">
        <w:t xml:space="preserve">buys a $23,000 truck to assist in the performing of residential </w:t>
      </w:r>
      <w:r w:rsidR="007F7E6D">
        <w:t>interior painting work</w:t>
      </w:r>
      <w:r w:rsidRPr="009A2B5D">
        <w:t xml:space="preserve">, and the </w:t>
      </w:r>
      <w:r w:rsidR="007F7E6D">
        <w:t>business owner</w:t>
      </w:r>
      <w:r w:rsidRPr="009A2B5D">
        <w:t xml:space="preserve"> creates a new truck asset on the books with a value of $23,000. Due to factors such as the total mileage and service history, the truck is assigned a </w:t>
      </w:r>
      <w:r w:rsidRPr="009A2B5D">
        <w:rPr>
          <w:i/>
          <w:iCs/>
        </w:rPr>
        <w:t>useful life of five years</w:t>
      </w:r>
      <w:r w:rsidRPr="009A2B5D">
        <w:t>. Salvage value is the remaining value of the asset at the end of its useful life. </w:t>
      </w:r>
    </w:p>
    <w:p w14:paraId="4326C9C1" w14:textId="69FC5A68" w:rsidR="007F7E6D" w:rsidRDefault="007F7E6D" w:rsidP="009A2B5D">
      <w:r>
        <w:t>CMYK</w:t>
      </w:r>
      <w:r w:rsidR="009A2B5D" w:rsidRPr="009A2B5D">
        <w:t xml:space="preserve"> decides to depreciate the asset </w:t>
      </w:r>
      <w:r>
        <w:t>using the straight-line method</w:t>
      </w:r>
      <w:r w:rsidRPr="009A2B5D">
        <w:t xml:space="preserve"> </w:t>
      </w:r>
      <w:r w:rsidR="009A2B5D" w:rsidRPr="009A2B5D">
        <w:t xml:space="preserve">with a $3,000 salvage value. The </w:t>
      </w:r>
      <w:r w:rsidR="009A2B5D" w:rsidRPr="009A2B5D">
        <w:rPr>
          <w:b/>
          <w:bCs/>
          <w:i/>
          <w:iCs/>
        </w:rPr>
        <w:t>depreciable base</w:t>
      </w:r>
      <w:r w:rsidR="009A2B5D" w:rsidRPr="009A2B5D">
        <w:t xml:space="preserve"> is the $23,000 original cost minus the $3,000 salvage value, or </w:t>
      </w:r>
      <m:oMath>
        <m:r>
          <w:rPr>
            <w:rFonts w:ascii="Cambria Math" w:hAnsi="Cambria Math"/>
          </w:rPr>
          <m:t>OC-SV=$20,000.</m:t>
        </m:r>
      </m:oMath>
      <w:r w:rsidR="009A2B5D" w:rsidRPr="009A2B5D">
        <w:t xml:space="preserve"> </w:t>
      </w:r>
    </w:p>
    <w:p w14:paraId="7D191F78" w14:textId="77777777" w:rsidR="007F7E6D" w:rsidRDefault="007F7E6D" w:rsidP="009A2B5D"/>
    <w:p w14:paraId="63AAD3DE" w14:textId="182A1898" w:rsidR="009A2B5D" w:rsidRDefault="007F7E6D" w:rsidP="009A2B5D">
      <w:r>
        <w:t xml:space="preserve">Using the formula: </w:t>
      </w:r>
      <w:r w:rsidR="009A2B5D" w:rsidRPr="009A2B5D">
        <w:t xml:space="preserve">annual depreciation </w:t>
      </w:r>
      <w:r>
        <w:t>=</w:t>
      </w:r>
      <w:r w:rsidR="009A2B5D" w:rsidRPr="009A2B5D">
        <w:t xml:space="preserve"> $20,000 divided by </w:t>
      </w:r>
      <w:r>
        <w:t>5</w:t>
      </w:r>
      <w:r w:rsidR="009A2B5D" w:rsidRPr="009A2B5D">
        <w:t>, or $4,000</w:t>
      </w:r>
      <w:r>
        <w:t xml:space="preserve"> (per year).</w:t>
      </w:r>
    </w:p>
    <w:p w14:paraId="2F956C38" w14:textId="77777777" w:rsidR="007F7E6D" w:rsidRPr="009A2B5D" w:rsidRDefault="007F7E6D" w:rsidP="009A2B5D"/>
    <w:p w14:paraId="17F8EF41" w14:textId="17290DB5" w:rsidR="007F7E6D" w:rsidRDefault="009A2B5D" w:rsidP="009A2B5D">
      <w:r w:rsidRPr="009A2B5D">
        <w:t xml:space="preserve">The </w:t>
      </w:r>
      <w:r w:rsidR="007E5927" w:rsidRPr="007E5927">
        <w:rPr>
          <w:b/>
          <w:bCs/>
        </w:rPr>
        <w:t>end-of-year book</w:t>
      </w:r>
      <w:r w:rsidRPr="009A2B5D">
        <w:rPr>
          <w:b/>
          <w:bCs/>
        </w:rPr>
        <w:t xml:space="preserve"> value</w:t>
      </w:r>
      <w:r w:rsidRPr="009A2B5D">
        <w:t xml:space="preserve"> of the truck changes each year because of the additional depreciation in value that is posted annually. </w:t>
      </w:r>
      <w:r w:rsidR="007F7E6D">
        <w:t>T</w:t>
      </w:r>
      <w:r w:rsidRPr="009A2B5D">
        <w:t xml:space="preserve">he truck’s </w:t>
      </w:r>
      <w:r w:rsidR="007F7E6D" w:rsidRPr="007F7E6D">
        <w:rPr>
          <w:b/>
          <w:bCs/>
          <w:i/>
          <w:iCs/>
        </w:rPr>
        <w:t>book value (BV)</w:t>
      </w:r>
      <w:r w:rsidRPr="009A2B5D">
        <w:t xml:space="preserve"> is </w:t>
      </w:r>
      <w:r w:rsidR="007F7E6D">
        <w:t>seen in this table:</w:t>
      </w:r>
    </w:p>
    <w:tbl>
      <w:tblPr>
        <w:tblStyle w:val="TableGrid"/>
        <w:tblW w:w="0" w:type="auto"/>
        <w:tblLook w:val="04A0" w:firstRow="1" w:lastRow="0" w:firstColumn="1" w:lastColumn="0" w:noHBand="0" w:noVBand="1"/>
      </w:tblPr>
      <w:tblGrid>
        <w:gridCol w:w="1726"/>
        <w:gridCol w:w="2319"/>
        <w:gridCol w:w="2070"/>
        <w:gridCol w:w="2070"/>
      </w:tblGrid>
      <w:tr w:rsidR="00152DFB" w14:paraId="166518D2" w14:textId="77777777" w:rsidTr="00732ED2">
        <w:tc>
          <w:tcPr>
            <w:tcW w:w="1726" w:type="dxa"/>
          </w:tcPr>
          <w:p w14:paraId="02B536A7" w14:textId="3EF91631" w:rsidR="00152DFB" w:rsidRDefault="00152DFB" w:rsidP="009A2B5D">
            <w:r>
              <w:t>Year</w:t>
            </w:r>
          </w:p>
        </w:tc>
        <w:tc>
          <w:tcPr>
            <w:tcW w:w="2319" w:type="dxa"/>
          </w:tcPr>
          <w:p w14:paraId="45C486E4" w14:textId="0EC6E61E" w:rsidR="00152DFB" w:rsidRDefault="00152DFB" w:rsidP="009A2B5D">
            <w:r>
              <w:t>Depreciation Amount (Expense)</w:t>
            </w:r>
          </w:p>
        </w:tc>
        <w:tc>
          <w:tcPr>
            <w:tcW w:w="2070" w:type="dxa"/>
          </w:tcPr>
          <w:p w14:paraId="1158BAD8" w14:textId="625D744F" w:rsidR="00152DFB" w:rsidRDefault="00152DFB" w:rsidP="009A2B5D">
            <w:r>
              <w:t>Accumulated Depreciation</w:t>
            </w:r>
          </w:p>
        </w:tc>
        <w:tc>
          <w:tcPr>
            <w:tcW w:w="2070" w:type="dxa"/>
          </w:tcPr>
          <w:p w14:paraId="1F77A9FA" w14:textId="63B42768" w:rsidR="00152DFB" w:rsidRDefault="00152DFB" w:rsidP="009A2B5D">
            <w:r>
              <w:t>End-of-</w:t>
            </w:r>
            <w:proofErr w:type="gramStart"/>
            <w:r>
              <w:t>Year Book</w:t>
            </w:r>
            <w:proofErr w:type="gramEnd"/>
            <w:r>
              <w:t xml:space="preserve"> Value</w:t>
            </w:r>
          </w:p>
        </w:tc>
      </w:tr>
      <w:tr w:rsidR="00152DFB" w14:paraId="3ED28B77" w14:textId="77777777" w:rsidTr="00732ED2">
        <w:tc>
          <w:tcPr>
            <w:tcW w:w="1726" w:type="dxa"/>
          </w:tcPr>
          <w:p w14:paraId="72ABC9B3" w14:textId="2E3D2C0C" w:rsidR="00152DFB" w:rsidRDefault="00152DFB" w:rsidP="009A2B5D">
            <w:r>
              <w:t>0</w:t>
            </w:r>
          </w:p>
        </w:tc>
        <w:tc>
          <w:tcPr>
            <w:tcW w:w="2319" w:type="dxa"/>
          </w:tcPr>
          <w:p w14:paraId="34DD447D" w14:textId="242A090B" w:rsidR="00152DFB" w:rsidRDefault="00152DFB" w:rsidP="009A2B5D">
            <m:oMathPara>
              <m:oMath>
                <m:r>
                  <m:rPr>
                    <m:sty m:val="bi"/>
                  </m:rPr>
                  <w:rPr>
                    <w:rFonts w:ascii="Cambria Math" w:hAnsi="Cambria Math"/>
                    <w:sz w:val="28"/>
                    <w:szCs w:val="28"/>
                  </w:rPr>
                  <m:t>(OC-SV)÷N</m:t>
                </m:r>
              </m:oMath>
            </m:oMathPara>
          </w:p>
        </w:tc>
        <w:tc>
          <w:tcPr>
            <w:tcW w:w="2070" w:type="dxa"/>
          </w:tcPr>
          <w:p w14:paraId="107433B4" w14:textId="77777777" w:rsidR="00152DFB" w:rsidRDefault="00152DFB" w:rsidP="009A2B5D"/>
        </w:tc>
        <w:tc>
          <w:tcPr>
            <w:tcW w:w="2070" w:type="dxa"/>
          </w:tcPr>
          <w:p w14:paraId="27994AAD" w14:textId="650DDE78" w:rsidR="00152DFB" w:rsidRDefault="00152DFB" w:rsidP="009A2B5D">
            <w:r>
              <w:t>Cost = $23,000</w:t>
            </w:r>
          </w:p>
        </w:tc>
      </w:tr>
      <w:tr w:rsidR="00152DFB" w14:paraId="7F702949" w14:textId="77777777" w:rsidTr="00732ED2">
        <w:tc>
          <w:tcPr>
            <w:tcW w:w="1726" w:type="dxa"/>
          </w:tcPr>
          <w:p w14:paraId="3F75F96B" w14:textId="3074E50E" w:rsidR="00152DFB" w:rsidRDefault="00152DFB" w:rsidP="009A2B5D">
            <w:r>
              <w:t>1</w:t>
            </w:r>
          </w:p>
        </w:tc>
        <w:tc>
          <w:tcPr>
            <w:tcW w:w="2319" w:type="dxa"/>
          </w:tcPr>
          <w:p w14:paraId="7345A02A" w14:textId="1042F151" w:rsidR="00152DFB" w:rsidRDefault="00152DFB" w:rsidP="009A2B5D">
            <w:r>
              <w:t>4,000</w:t>
            </w:r>
          </w:p>
        </w:tc>
        <w:tc>
          <w:tcPr>
            <w:tcW w:w="2070" w:type="dxa"/>
          </w:tcPr>
          <w:p w14:paraId="1D6A442D" w14:textId="41A259DB" w:rsidR="00152DFB" w:rsidRDefault="00152DFB" w:rsidP="009A2B5D">
            <w:r>
              <w:t>4,000</w:t>
            </w:r>
          </w:p>
        </w:tc>
        <w:tc>
          <w:tcPr>
            <w:tcW w:w="2070" w:type="dxa"/>
          </w:tcPr>
          <w:p w14:paraId="511E5907" w14:textId="54F02FE5" w:rsidR="00152DFB" w:rsidRDefault="00152DFB" w:rsidP="009A2B5D">
            <w:r>
              <w:t>19,000</w:t>
            </w:r>
          </w:p>
        </w:tc>
      </w:tr>
      <w:tr w:rsidR="00152DFB" w14:paraId="07D66F72" w14:textId="77777777" w:rsidTr="00732ED2">
        <w:tc>
          <w:tcPr>
            <w:tcW w:w="1726" w:type="dxa"/>
          </w:tcPr>
          <w:p w14:paraId="0CECDCEB" w14:textId="0410A5BA" w:rsidR="00152DFB" w:rsidRDefault="00152DFB" w:rsidP="009A2B5D">
            <w:r>
              <w:t>2</w:t>
            </w:r>
          </w:p>
        </w:tc>
        <w:tc>
          <w:tcPr>
            <w:tcW w:w="2319" w:type="dxa"/>
          </w:tcPr>
          <w:p w14:paraId="42038581" w14:textId="6FC3E033" w:rsidR="00152DFB" w:rsidRDefault="00152DFB" w:rsidP="009A2B5D">
            <w:r>
              <w:t>4,000</w:t>
            </w:r>
          </w:p>
        </w:tc>
        <w:tc>
          <w:tcPr>
            <w:tcW w:w="2070" w:type="dxa"/>
          </w:tcPr>
          <w:p w14:paraId="20911431" w14:textId="5D0BAFF5" w:rsidR="00152DFB" w:rsidRDefault="00152DFB" w:rsidP="009A2B5D">
            <w:r>
              <w:t>8,000</w:t>
            </w:r>
          </w:p>
        </w:tc>
        <w:tc>
          <w:tcPr>
            <w:tcW w:w="2070" w:type="dxa"/>
          </w:tcPr>
          <w:p w14:paraId="1C256DB9" w14:textId="10C63FFA" w:rsidR="00152DFB" w:rsidRDefault="00152DFB" w:rsidP="009A2B5D">
            <w:r>
              <w:t>15,000</w:t>
            </w:r>
          </w:p>
        </w:tc>
      </w:tr>
      <w:tr w:rsidR="00152DFB" w14:paraId="554C1478" w14:textId="77777777" w:rsidTr="00732ED2">
        <w:tc>
          <w:tcPr>
            <w:tcW w:w="1726" w:type="dxa"/>
          </w:tcPr>
          <w:p w14:paraId="772E70C7" w14:textId="74A6C054" w:rsidR="00152DFB" w:rsidRDefault="00152DFB" w:rsidP="009A2B5D">
            <w:r>
              <w:t>3</w:t>
            </w:r>
          </w:p>
        </w:tc>
        <w:tc>
          <w:tcPr>
            <w:tcW w:w="2319" w:type="dxa"/>
          </w:tcPr>
          <w:p w14:paraId="3FCF6198" w14:textId="2784B91B" w:rsidR="00152DFB" w:rsidRDefault="00152DFB" w:rsidP="009A2B5D">
            <w:r>
              <w:t>4,000</w:t>
            </w:r>
          </w:p>
        </w:tc>
        <w:tc>
          <w:tcPr>
            <w:tcW w:w="2070" w:type="dxa"/>
          </w:tcPr>
          <w:p w14:paraId="078B277E" w14:textId="6752AB8E" w:rsidR="00152DFB" w:rsidRDefault="00152DFB" w:rsidP="009A2B5D">
            <w:r>
              <w:t>12,000</w:t>
            </w:r>
          </w:p>
        </w:tc>
        <w:tc>
          <w:tcPr>
            <w:tcW w:w="2070" w:type="dxa"/>
          </w:tcPr>
          <w:p w14:paraId="11DFCD0D" w14:textId="78C06261" w:rsidR="00152DFB" w:rsidRDefault="00152DFB" w:rsidP="009A2B5D">
            <w:r>
              <w:t>11,000</w:t>
            </w:r>
          </w:p>
        </w:tc>
      </w:tr>
      <w:tr w:rsidR="00152DFB" w14:paraId="560B2A8B" w14:textId="77777777" w:rsidTr="00732ED2">
        <w:tc>
          <w:tcPr>
            <w:tcW w:w="1726" w:type="dxa"/>
          </w:tcPr>
          <w:p w14:paraId="79094FD3" w14:textId="3C2D51D9" w:rsidR="00152DFB" w:rsidRDefault="00152DFB" w:rsidP="009A2B5D">
            <w:r>
              <w:t>4</w:t>
            </w:r>
          </w:p>
        </w:tc>
        <w:tc>
          <w:tcPr>
            <w:tcW w:w="2319" w:type="dxa"/>
          </w:tcPr>
          <w:p w14:paraId="6EE4197C" w14:textId="499AF6F3" w:rsidR="00152DFB" w:rsidRDefault="00152DFB" w:rsidP="009A2B5D">
            <w:r>
              <w:t>4,000</w:t>
            </w:r>
          </w:p>
        </w:tc>
        <w:tc>
          <w:tcPr>
            <w:tcW w:w="2070" w:type="dxa"/>
          </w:tcPr>
          <w:p w14:paraId="646A0390" w14:textId="3352C2A2" w:rsidR="00152DFB" w:rsidRDefault="00152DFB" w:rsidP="009A2B5D">
            <w:r>
              <w:t>16,000</w:t>
            </w:r>
          </w:p>
        </w:tc>
        <w:tc>
          <w:tcPr>
            <w:tcW w:w="2070" w:type="dxa"/>
          </w:tcPr>
          <w:p w14:paraId="3FB28DC7" w14:textId="0076B0D1" w:rsidR="00152DFB" w:rsidRDefault="00152DFB" w:rsidP="009A2B5D">
            <w:r>
              <w:t>7,000</w:t>
            </w:r>
          </w:p>
        </w:tc>
      </w:tr>
      <w:tr w:rsidR="00152DFB" w14:paraId="1637C5AA" w14:textId="77777777" w:rsidTr="00732ED2">
        <w:tc>
          <w:tcPr>
            <w:tcW w:w="1726" w:type="dxa"/>
          </w:tcPr>
          <w:p w14:paraId="4E78686C" w14:textId="66858ABB" w:rsidR="00152DFB" w:rsidRDefault="00152DFB" w:rsidP="009A2B5D">
            <w:r>
              <w:t>5 = N</w:t>
            </w:r>
          </w:p>
        </w:tc>
        <w:tc>
          <w:tcPr>
            <w:tcW w:w="2319" w:type="dxa"/>
          </w:tcPr>
          <w:p w14:paraId="5E298D3A" w14:textId="5429EF36" w:rsidR="00152DFB" w:rsidRDefault="00152DFB" w:rsidP="009A2B5D">
            <w:r>
              <w:t>4,000</w:t>
            </w:r>
          </w:p>
        </w:tc>
        <w:tc>
          <w:tcPr>
            <w:tcW w:w="2070" w:type="dxa"/>
          </w:tcPr>
          <w:p w14:paraId="6C087E8B" w14:textId="74D44CEF" w:rsidR="00152DFB" w:rsidRDefault="00152DFB" w:rsidP="009A2B5D">
            <w:r>
              <w:t>20,000</w:t>
            </w:r>
          </w:p>
        </w:tc>
        <w:tc>
          <w:tcPr>
            <w:tcW w:w="2070" w:type="dxa"/>
          </w:tcPr>
          <w:p w14:paraId="7B1BD331" w14:textId="521789A6" w:rsidR="00152DFB" w:rsidRDefault="00152DFB" w:rsidP="009A2B5D">
            <w:r>
              <w:t>3,000 = SV</w:t>
            </w:r>
          </w:p>
        </w:tc>
      </w:tr>
    </w:tbl>
    <w:p w14:paraId="330F1617" w14:textId="77777777" w:rsidR="007F7E6D" w:rsidRDefault="007F7E6D" w:rsidP="009A2B5D"/>
    <w:p w14:paraId="1D2F1E66" w14:textId="0B449EF5" w:rsidR="009A2B5D" w:rsidRPr="00AA787E" w:rsidRDefault="00656C5F">
      <w:pPr>
        <w:rPr>
          <w:b/>
          <w:bCs/>
        </w:rPr>
      </w:pPr>
      <w:r w:rsidRPr="00AA787E">
        <w:rPr>
          <w:b/>
          <w:bCs/>
        </w:rPr>
        <w:t>Patterns in Depreciation</w:t>
      </w:r>
    </w:p>
    <w:p w14:paraId="351B52F1" w14:textId="77777777" w:rsidR="00656C5F" w:rsidRDefault="00656C5F"/>
    <w:p w14:paraId="4D5621F2" w14:textId="63309BA8" w:rsidR="00656C5F" w:rsidRDefault="00F57C26">
      <w:r w:rsidRPr="00F57C26">
        <w:rPr>
          <w:b/>
          <w:bCs/>
        </w:rPr>
        <w:t>Example:</w:t>
      </w:r>
      <w:r>
        <w:t xml:space="preserve"> </w:t>
      </w:r>
      <w:r w:rsidR="00656C5F">
        <w:t xml:space="preserve">You decide to start a 3D-printing business to make custom PVC fittings. The printer costs $29,000 brand new. </w:t>
      </w:r>
      <w:r w:rsidR="00AA787E">
        <w:t>The manufacturer claims that it has an 8-year life span if it is being used 11 hours/day every day, with regular recommended service.</w:t>
      </w:r>
    </w:p>
    <w:p w14:paraId="10AE86EF" w14:textId="77777777" w:rsidR="00AA787E" w:rsidRDefault="00AA787E"/>
    <w:p w14:paraId="1DE067A5" w14:textId="0721A4CC" w:rsidR="00AA787E" w:rsidRDefault="00494C1F">
      <w:r>
        <w:t xml:space="preserve">Note: </w:t>
      </w:r>
      <w:r w:rsidR="00AA787E">
        <w:t xml:space="preserve">Both the declining method and double declining method are used if the salvage value is unknown, and the remaining value of the printer is based on </w:t>
      </w:r>
      <w:r w:rsidR="001710EC">
        <w:t xml:space="preserve">an </w:t>
      </w:r>
      <w:r w:rsidR="001710EC" w:rsidRPr="001710EC">
        <w:rPr>
          <w:b/>
          <w:bCs/>
          <w:i/>
          <w:iCs/>
        </w:rPr>
        <w:t>exponential decay</w:t>
      </w:r>
      <w:r w:rsidR="001710EC">
        <w:t xml:space="preserve"> model</w:t>
      </w:r>
      <w:r w:rsidR="00AA787E">
        <w:t>.</w:t>
      </w:r>
    </w:p>
    <w:p w14:paraId="4E09200E" w14:textId="77777777" w:rsidR="00AA787E" w:rsidRDefault="00AA787E"/>
    <w:p w14:paraId="0943208D" w14:textId="439E826A" w:rsidR="00AA787E" w:rsidRDefault="00AA787E">
      <w:r>
        <w:t xml:space="preserve">Under these two </w:t>
      </w:r>
      <w:r w:rsidR="00497E79">
        <w:t>depreciation models the BV will never get to zero. But the asset loses more of its value in the first year than in the second, and so on.</w:t>
      </w:r>
    </w:p>
    <w:p w14:paraId="38112E8D" w14:textId="77777777" w:rsidR="001710EC" w:rsidRDefault="001710EC"/>
    <w:p w14:paraId="3B32C77D" w14:textId="77777777" w:rsidR="001710EC" w:rsidRDefault="001710EC"/>
    <w:p w14:paraId="17907C40" w14:textId="77777777" w:rsidR="001710EC" w:rsidRDefault="001710EC"/>
    <w:p w14:paraId="73E150B8" w14:textId="77777777" w:rsidR="001710EC" w:rsidRDefault="001710EC"/>
    <w:p w14:paraId="1EB3EF04" w14:textId="77777777" w:rsidR="001710EC" w:rsidRDefault="001710EC"/>
    <w:p w14:paraId="2C1F2E09" w14:textId="77777777" w:rsidR="001710EC" w:rsidRDefault="001710EC"/>
    <w:p w14:paraId="03CFC4C8" w14:textId="77777777" w:rsidR="001710EC" w:rsidRDefault="001710EC"/>
    <w:tbl>
      <w:tblPr>
        <w:tblStyle w:val="TableGrid"/>
        <w:tblpPr w:leftFromText="187" w:rightFromText="187" w:vertAnchor="page" w:horzAnchor="margin" w:tblpY="1513"/>
        <w:tblOverlap w:val="never"/>
        <w:tblW w:w="0" w:type="auto"/>
        <w:tblLook w:val="04A0" w:firstRow="1" w:lastRow="0" w:firstColumn="1" w:lastColumn="0" w:noHBand="0" w:noVBand="1"/>
      </w:tblPr>
      <w:tblGrid>
        <w:gridCol w:w="715"/>
        <w:gridCol w:w="1710"/>
        <w:gridCol w:w="1980"/>
        <w:gridCol w:w="2070"/>
        <w:gridCol w:w="2155"/>
      </w:tblGrid>
      <w:tr w:rsidR="00497E79" w14:paraId="134146FE" w14:textId="09C8C385" w:rsidTr="00F57C26">
        <w:tc>
          <w:tcPr>
            <w:tcW w:w="715" w:type="dxa"/>
          </w:tcPr>
          <w:p w14:paraId="34AAD3E4" w14:textId="77777777" w:rsidR="00497E79" w:rsidRDefault="00497E79" w:rsidP="00F57C26"/>
        </w:tc>
        <w:tc>
          <w:tcPr>
            <w:tcW w:w="3690" w:type="dxa"/>
            <w:gridSpan w:val="2"/>
            <w:tcBorders>
              <w:right w:val="thinThickThinLargeGap" w:sz="24" w:space="0" w:color="auto"/>
            </w:tcBorders>
          </w:tcPr>
          <w:p w14:paraId="5F6A7CC4" w14:textId="7EA98784" w:rsidR="00497E79" w:rsidRPr="00F57C26" w:rsidRDefault="00F57C26" w:rsidP="00F57C26">
            <w:pPr>
              <w:jc w:val="center"/>
              <w:rPr>
                <w:b/>
                <w:bCs/>
              </w:rPr>
            </w:pPr>
            <w:r w:rsidRPr="00F57C26">
              <w:rPr>
                <w:b/>
                <w:bCs/>
              </w:rPr>
              <w:t>Declining Method</w:t>
            </w:r>
          </w:p>
        </w:tc>
        <w:tc>
          <w:tcPr>
            <w:tcW w:w="4225" w:type="dxa"/>
            <w:gridSpan w:val="2"/>
            <w:tcBorders>
              <w:left w:val="thinThickThinLargeGap" w:sz="24" w:space="0" w:color="auto"/>
            </w:tcBorders>
          </w:tcPr>
          <w:p w14:paraId="76016981" w14:textId="1AEE05AD" w:rsidR="00497E79" w:rsidRPr="00F57C26" w:rsidRDefault="00F57C26" w:rsidP="00F57C26">
            <w:pPr>
              <w:jc w:val="center"/>
              <w:rPr>
                <w:b/>
                <w:bCs/>
              </w:rPr>
            </w:pPr>
            <w:r w:rsidRPr="00F57C26">
              <w:rPr>
                <w:b/>
                <w:bCs/>
              </w:rPr>
              <w:t>Double Declining Method</w:t>
            </w:r>
          </w:p>
        </w:tc>
      </w:tr>
      <w:tr w:rsidR="00497E79" w14:paraId="52DD86A3" w14:textId="2F396FCD" w:rsidTr="00F57C26">
        <w:tc>
          <w:tcPr>
            <w:tcW w:w="715" w:type="dxa"/>
          </w:tcPr>
          <w:p w14:paraId="7C374386" w14:textId="77777777" w:rsidR="00497E79" w:rsidRDefault="00497E79" w:rsidP="00F57C26">
            <w:r>
              <w:t>Year</w:t>
            </w:r>
          </w:p>
        </w:tc>
        <w:tc>
          <w:tcPr>
            <w:tcW w:w="1710" w:type="dxa"/>
          </w:tcPr>
          <w:p w14:paraId="2F75D551" w14:textId="34A01C69" w:rsidR="00497E79" w:rsidRDefault="00F57C26" w:rsidP="00F57C26">
            <w:r>
              <w:t>Depreciation Amount</w:t>
            </w:r>
          </w:p>
        </w:tc>
        <w:tc>
          <w:tcPr>
            <w:tcW w:w="1980" w:type="dxa"/>
            <w:tcBorders>
              <w:right w:val="thinThickThinLargeGap" w:sz="24" w:space="0" w:color="auto"/>
            </w:tcBorders>
          </w:tcPr>
          <w:p w14:paraId="56854CBB" w14:textId="686EC755" w:rsidR="00497E79" w:rsidRDefault="00F57C26" w:rsidP="00F57C26">
            <w:r>
              <w:t>Book Value (BV)</w:t>
            </w:r>
          </w:p>
        </w:tc>
        <w:tc>
          <w:tcPr>
            <w:tcW w:w="2070" w:type="dxa"/>
            <w:tcBorders>
              <w:left w:val="thinThickThinLargeGap" w:sz="24" w:space="0" w:color="auto"/>
            </w:tcBorders>
          </w:tcPr>
          <w:p w14:paraId="6C1329ED" w14:textId="5D4BB0AD" w:rsidR="00497E79" w:rsidRDefault="00F57C26" w:rsidP="00F57C26">
            <w:r>
              <w:t>Depreciation Amount</w:t>
            </w:r>
          </w:p>
        </w:tc>
        <w:tc>
          <w:tcPr>
            <w:tcW w:w="2155" w:type="dxa"/>
          </w:tcPr>
          <w:p w14:paraId="4982E1B7" w14:textId="6BE0DAF3" w:rsidR="00497E79" w:rsidRDefault="00F57C26" w:rsidP="00F57C26">
            <w:r>
              <w:t>Book Value (BV)</w:t>
            </w:r>
          </w:p>
        </w:tc>
      </w:tr>
      <w:tr w:rsidR="00F57C26" w14:paraId="23CCD8BF" w14:textId="3D1A05F1" w:rsidTr="00F57C26">
        <w:tc>
          <w:tcPr>
            <w:tcW w:w="715" w:type="dxa"/>
          </w:tcPr>
          <w:p w14:paraId="1782F9DA" w14:textId="265F07CA" w:rsidR="00F57C26" w:rsidRDefault="00F57C26" w:rsidP="00F57C26">
            <w:r>
              <w:t>0</w:t>
            </w:r>
          </w:p>
        </w:tc>
        <w:tc>
          <w:tcPr>
            <w:tcW w:w="1710" w:type="dxa"/>
          </w:tcPr>
          <w:p w14:paraId="279EC3DF" w14:textId="55D548C5" w:rsidR="00F57C26" w:rsidRPr="00497E79" w:rsidRDefault="00F57C26" w:rsidP="00F57C26">
            <w:pPr>
              <w:jc w:val="center"/>
              <w:rPr>
                <w:rFonts w:eastAsiaTheme="minorEastAsia"/>
                <w:b/>
                <w:bCs/>
                <w:sz w:val="28"/>
                <w:szCs w:val="28"/>
              </w:rPr>
            </w:pPr>
            <m:oMathPara>
              <m:oMath>
                <m:r>
                  <m:rPr>
                    <m:sty m:val="bi"/>
                  </m:rPr>
                  <w:rPr>
                    <w:rFonts w:ascii="Cambria Math" w:eastAsiaTheme="minorEastAsia" w:hAnsi="Cambria Math"/>
                    <w:sz w:val="28"/>
                    <w:szCs w:val="28"/>
                  </w:rPr>
                  <m:t>BV÷N</m:t>
                </m:r>
              </m:oMath>
            </m:oMathPara>
          </w:p>
        </w:tc>
        <w:tc>
          <w:tcPr>
            <w:tcW w:w="1980" w:type="dxa"/>
            <w:tcBorders>
              <w:right w:val="thinThickThinLargeGap" w:sz="24" w:space="0" w:color="auto"/>
            </w:tcBorders>
          </w:tcPr>
          <w:p w14:paraId="10CD01DB" w14:textId="557EE1C8" w:rsidR="00F57C26" w:rsidRPr="00497E79" w:rsidRDefault="00C25402" w:rsidP="00F57C26">
            <w:pPr>
              <w:jc w:val="center"/>
              <w:rPr>
                <w:rFonts w:eastAsiaTheme="minorEastAsia"/>
                <w:b/>
                <w:bCs/>
                <w:sz w:val="28"/>
                <w:szCs w:val="28"/>
              </w:rPr>
            </w:pPr>
            <w:r>
              <w:t xml:space="preserve">Cost = </w:t>
            </w:r>
            <w:r w:rsidR="00F57C26">
              <w:t>29,000.00</w:t>
            </w:r>
          </w:p>
        </w:tc>
        <w:tc>
          <w:tcPr>
            <w:tcW w:w="2070" w:type="dxa"/>
            <w:tcBorders>
              <w:left w:val="thinThickThinLargeGap" w:sz="24" w:space="0" w:color="auto"/>
            </w:tcBorders>
          </w:tcPr>
          <w:p w14:paraId="435086CC" w14:textId="6EA07AEF" w:rsidR="00F57C26" w:rsidRDefault="00F57C26" w:rsidP="00F57C26">
            <w:pPr>
              <w:jc w:val="center"/>
            </w:pPr>
            <m:oMathPara>
              <m:oMath>
                <m:r>
                  <m:rPr>
                    <m:sty m:val="bi"/>
                  </m:rPr>
                  <w:rPr>
                    <w:rFonts w:ascii="Cambria Math" w:hAnsi="Cambria Math"/>
                    <w:sz w:val="28"/>
                    <w:szCs w:val="28"/>
                  </w:rPr>
                  <m:t>2×BV÷N</m:t>
                </m:r>
              </m:oMath>
            </m:oMathPara>
          </w:p>
        </w:tc>
        <w:tc>
          <w:tcPr>
            <w:tcW w:w="2155" w:type="dxa"/>
          </w:tcPr>
          <w:p w14:paraId="2A62CDF0" w14:textId="43367A3D" w:rsidR="00F57C26" w:rsidRDefault="00C25402" w:rsidP="00F57C26">
            <w:pPr>
              <w:jc w:val="center"/>
            </w:pPr>
            <w:r>
              <w:t xml:space="preserve">Cost = </w:t>
            </w:r>
            <w:r w:rsidR="00F57C26">
              <w:t>29,000.00</w:t>
            </w:r>
          </w:p>
        </w:tc>
      </w:tr>
      <w:tr w:rsidR="00F57C26" w14:paraId="519D6AF0" w14:textId="2B832C6E" w:rsidTr="00F57C26">
        <w:tc>
          <w:tcPr>
            <w:tcW w:w="715" w:type="dxa"/>
          </w:tcPr>
          <w:p w14:paraId="04A3D4FB" w14:textId="1BFAC270" w:rsidR="00F57C26" w:rsidRDefault="00F57C26" w:rsidP="00F57C26">
            <w:r>
              <w:t>1</w:t>
            </w:r>
          </w:p>
        </w:tc>
        <w:tc>
          <w:tcPr>
            <w:tcW w:w="1710" w:type="dxa"/>
          </w:tcPr>
          <w:p w14:paraId="3A38D4A2" w14:textId="6F30F2BE" w:rsidR="00F57C26" w:rsidRDefault="00F57C26" w:rsidP="00F57C26">
            <w:pPr>
              <w:jc w:val="center"/>
            </w:pPr>
            <w:r>
              <w:t>3,625.00</w:t>
            </w:r>
          </w:p>
        </w:tc>
        <w:tc>
          <w:tcPr>
            <w:tcW w:w="1980" w:type="dxa"/>
            <w:tcBorders>
              <w:right w:val="thinThickThinLargeGap" w:sz="24" w:space="0" w:color="auto"/>
            </w:tcBorders>
          </w:tcPr>
          <w:p w14:paraId="3142254B" w14:textId="5C938E79" w:rsidR="00F57C26" w:rsidRDefault="00F57C26" w:rsidP="00F57C26">
            <w:pPr>
              <w:jc w:val="center"/>
            </w:pPr>
            <w:r>
              <w:t>25,375.00</w:t>
            </w:r>
          </w:p>
        </w:tc>
        <w:tc>
          <w:tcPr>
            <w:tcW w:w="2070" w:type="dxa"/>
            <w:tcBorders>
              <w:left w:val="thinThickThinLargeGap" w:sz="24" w:space="0" w:color="auto"/>
            </w:tcBorders>
          </w:tcPr>
          <w:p w14:paraId="3126064A" w14:textId="667F1DF8" w:rsidR="00F57C26" w:rsidRDefault="00F57C26" w:rsidP="00F57C26">
            <w:pPr>
              <w:jc w:val="center"/>
            </w:pPr>
            <w:r>
              <w:t>7,250.00</w:t>
            </w:r>
          </w:p>
        </w:tc>
        <w:tc>
          <w:tcPr>
            <w:tcW w:w="2155" w:type="dxa"/>
          </w:tcPr>
          <w:p w14:paraId="624C534C" w14:textId="4EC93BE6" w:rsidR="00F57C26" w:rsidRDefault="00F57C26" w:rsidP="00F57C26">
            <w:pPr>
              <w:jc w:val="center"/>
            </w:pPr>
            <w:r>
              <w:t>21,750.00</w:t>
            </w:r>
          </w:p>
        </w:tc>
      </w:tr>
      <w:tr w:rsidR="00497E79" w14:paraId="2DB36EC5" w14:textId="2524748F" w:rsidTr="00F57C26">
        <w:tc>
          <w:tcPr>
            <w:tcW w:w="715" w:type="dxa"/>
          </w:tcPr>
          <w:p w14:paraId="1F1C57F9" w14:textId="30F94522" w:rsidR="00497E79" w:rsidRDefault="00497E79" w:rsidP="00F57C26">
            <w:r>
              <w:t>2</w:t>
            </w:r>
          </w:p>
        </w:tc>
        <w:tc>
          <w:tcPr>
            <w:tcW w:w="1710" w:type="dxa"/>
          </w:tcPr>
          <w:p w14:paraId="2FBE3528" w14:textId="3BDB054C" w:rsidR="00497E79" w:rsidRDefault="00F57C26" w:rsidP="00F57C26">
            <w:pPr>
              <w:jc w:val="center"/>
            </w:pPr>
            <w:r>
              <w:t>3,171.88</w:t>
            </w:r>
          </w:p>
        </w:tc>
        <w:tc>
          <w:tcPr>
            <w:tcW w:w="1980" w:type="dxa"/>
            <w:tcBorders>
              <w:right w:val="thinThickThinLargeGap" w:sz="24" w:space="0" w:color="auto"/>
            </w:tcBorders>
          </w:tcPr>
          <w:p w14:paraId="2F0A001F" w14:textId="77777777" w:rsidR="00497E79" w:rsidRDefault="00497E79" w:rsidP="00F57C26">
            <w:pPr>
              <w:jc w:val="center"/>
            </w:pPr>
          </w:p>
        </w:tc>
        <w:tc>
          <w:tcPr>
            <w:tcW w:w="2070" w:type="dxa"/>
            <w:tcBorders>
              <w:left w:val="thinThickThinLargeGap" w:sz="24" w:space="0" w:color="auto"/>
            </w:tcBorders>
          </w:tcPr>
          <w:p w14:paraId="221CFAE5" w14:textId="6B76BC91" w:rsidR="00497E79" w:rsidRDefault="00F57C26" w:rsidP="00F57C26">
            <w:pPr>
              <w:jc w:val="center"/>
            </w:pPr>
            <w:r>
              <w:t>5,437.50</w:t>
            </w:r>
          </w:p>
        </w:tc>
        <w:tc>
          <w:tcPr>
            <w:tcW w:w="2155" w:type="dxa"/>
          </w:tcPr>
          <w:p w14:paraId="029865A6" w14:textId="77777777" w:rsidR="00497E79" w:rsidRDefault="00497E79" w:rsidP="00F57C26">
            <w:pPr>
              <w:jc w:val="center"/>
            </w:pPr>
          </w:p>
        </w:tc>
      </w:tr>
      <w:tr w:rsidR="00497E79" w14:paraId="5476BE78" w14:textId="2B8040A9" w:rsidTr="00F57C26">
        <w:tc>
          <w:tcPr>
            <w:tcW w:w="715" w:type="dxa"/>
          </w:tcPr>
          <w:p w14:paraId="57AD364F" w14:textId="0D2DEE84" w:rsidR="00497E79" w:rsidRDefault="00497E79" w:rsidP="00F57C26">
            <w:r>
              <w:t>3</w:t>
            </w:r>
          </w:p>
        </w:tc>
        <w:tc>
          <w:tcPr>
            <w:tcW w:w="1710" w:type="dxa"/>
          </w:tcPr>
          <w:p w14:paraId="216CBAE8" w14:textId="77777777" w:rsidR="00497E79" w:rsidRDefault="00497E79" w:rsidP="00F57C26">
            <w:pPr>
              <w:jc w:val="center"/>
            </w:pPr>
          </w:p>
        </w:tc>
        <w:tc>
          <w:tcPr>
            <w:tcW w:w="1980" w:type="dxa"/>
            <w:tcBorders>
              <w:right w:val="thinThickThinLargeGap" w:sz="24" w:space="0" w:color="auto"/>
            </w:tcBorders>
          </w:tcPr>
          <w:p w14:paraId="634B227B" w14:textId="7BEB6678" w:rsidR="00497E79" w:rsidRDefault="00497E79" w:rsidP="00F57C26">
            <w:pPr>
              <w:jc w:val="center"/>
            </w:pPr>
          </w:p>
        </w:tc>
        <w:tc>
          <w:tcPr>
            <w:tcW w:w="2070" w:type="dxa"/>
            <w:tcBorders>
              <w:left w:val="thinThickThinLargeGap" w:sz="24" w:space="0" w:color="auto"/>
            </w:tcBorders>
          </w:tcPr>
          <w:p w14:paraId="2C444BD8" w14:textId="77777777" w:rsidR="00497E79" w:rsidRDefault="00497E79" w:rsidP="00F57C26">
            <w:pPr>
              <w:jc w:val="center"/>
            </w:pPr>
          </w:p>
        </w:tc>
        <w:tc>
          <w:tcPr>
            <w:tcW w:w="2155" w:type="dxa"/>
          </w:tcPr>
          <w:p w14:paraId="723D6571" w14:textId="77777777" w:rsidR="00497E79" w:rsidRDefault="00497E79" w:rsidP="00F57C26">
            <w:pPr>
              <w:jc w:val="center"/>
            </w:pPr>
          </w:p>
        </w:tc>
      </w:tr>
      <w:tr w:rsidR="00497E79" w14:paraId="289E4F2A" w14:textId="38698CEC" w:rsidTr="00F57C26">
        <w:tc>
          <w:tcPr>
            <w:tcW w:w="715" w:type="dxa"/>
          </w:tcPr>
          <w:p w14:paraId="6A75F01C" w14:textId="1D450B60" w:rsidR="00497E79" w:rsidRDefault="00497E79" w:rsidP="00F57C26">
            <w:r>
              <w:t>4</w:t>
            </w:r>
          </w:p>
        </w:tc>
        <w:tc>
          <w:tcPr>
            <w:tcW w:w="1710" w:type="dxa"/>
          </w:tcPr>
          <w:p w14:paraId="3619F3DA" w14:textId="77777777" w:rsidR="00497E79" w:rsidRDefault="00497E79" w:rsidP="00F57C26">
            <w:pPr>
              <w:jc w:val="center"/>
            </w:pPr>
          </w:p>
        </w:tc>
        <w:tc>
          <w:tcPr>
            <w:tcW w:w="1980" w:type="dxa"/>
            <w:tcBorders>
              <w:right w:val="thinThickThinLargeGap" w:sz="24" w:space="0" w:color="auto"/>
            </w:tcBorders>
          </w:tcPr>
          <w:p w14:paraId="1CACB4BC" w14:textId="10C6F81E" w:rsidR="00497E79" w:rsidRDefault="00497E79" w:rsidP="00F57C26">
            <w:pPr>
              <w:jc w:val="center"/>
            </w:pPr>
          </w:p>
        </w:tc>
        <w:tc>
          <w:tcPr>
            <w:tcW w:w="2070" w:type="dxa"/>
            <w:tcBorders>
              <w:left w:val="thinThickThinLargeGap" w:sz="24" w:space="0" w:color="auto"/>
            </w:tcBorders>
          </w:tcPr>
          <w:p w14:paraId="4DCC1D4F" w14:textId="77777777" w:rsidR="00497E79" w:rsidRDefault="00497E79" w:rsidP="00F57C26">
            <w:pPr>
              <w:jc w:val="center"/>
            </w:pPr>
          </w:p>
        </w:tc>
        <w:tc>
          <w:tcPr>
            <w:tcW w:w="2155" w:type="dxa"/>
          </w:tcPr>
          <w:p w14:paraId="445010BA" w14:textId="77777777" w:rsidR="00497E79" w:rsidRDefault="00497E79" w:rsidP="00F57C26">
            <w:pPr>
              <w:jc w:val="center"/>
            </w:pPr>
          </w:p>
        </w:tc>
      </w:tr>
      <w:tr w:rsidR="00497E79" w14:paraId="04F1D518" w14:textId="4E9E84FD" w:rsidTr="00F57C26">
        <w:tc>
          <w:tcPr>
            <w:tcW w:w="715" w:type="dxa"/>
          </w:tcPr>
          <w:p w14:paraId="5C4FC0F1" w14:textId="2455DAAD" w:rsidR="00497E79" w:rsidRDefault="00497E79" w:rsidP="00F57C26">
            <w:r>
              <w:t>5</w:t>
            </w:r>
          </w:p>
        </w:tc>
        <w:tc>
          <w:tcPr>
            <w:tcW w:w="1710" w:type="dxa"/>
          </w:tcPr>
          <w:p w14:paraId="5FB8DD49" w14:textId="77777777" w:rsidR="00497E79" w:rsidRDefault="00497E79" w:rsidP="00F57C26">
            <w:pPr>
              <w:jc w:val="center"/>
            </w:pPr>
          </w:p>
        </w:tc>
        <w:tc>
          <w:tcPr>
            <w:tcW w:w="1980" w:type="dxa"/>
            <w:tcBorders>
              <w:right w:val="thinThickThinLargeGap" w:sz="24" w:space="0" w:color="auto"/>
            </w:tcBorders>
          </w:tcPr>
          <w:p w14:paraId="520E2D6F" w14:textId="77777777" w:rsidR="00497E79" w:rsidRDefault="00497E79" w:rsidP="00F57C26">
            <w:pPr>
              <w:jc w:val="center"/>
            </w:pPr>
          </w:p>
        </w:tc>
        <w:tc>
          <w:tcPr>
            <w:tcW w:w="2070" w:type="dxa"/>
            <w:tcBorders>
              <w:left w:val="thinThickThinLargeGap" w:sz="24" w:space="0" w:color="auto"/>
            </w:tcBorders>
          </w:tcPr>
          <w:p w14:paraId="078BED4F" w14:textId="77777777" w:rsidR="00497E79" w:rsidRDefault="00497E79" w:rsidP="00F57C26">
            <w:pPr>
              <w:jc w:val="center"/>
            </w:pPr>
          </w:p>
        </w:tc>
        <w:tc>
          <w:tcPr>
            <w:tcW w:w="2155" w:type="dxa"/>
          </w:tcPr>
          <w:p w14:paraId="3260BA73" w14:textId="77777777" w:rsidR="00497E79" w:rsidRDefault="00497E79" w:rsidP="00F57C26">
            <w:pPr>
              <w:jc w:val="center"/>
            </w:pPr>
          </w:p>
        </w:tc>
      </w:tr>
      <w:tr w:rsidR="00497E79" w14:paraId="4DEEE1FB" w14:textId="43DD8DC4" w:rsidTr="00F57C26">
        <w:tc>
          <w:tcPr>
            <w:tcW w:w="715" w:type="dxa"/>
          </w:tcPr>
          <w:p w14:paraId="4C889E0F" w14:textId="47DBD68B" w:rsidR="00497E79" w:rsidRDefault="00497E79" w:rsidP="00F57C26">
            <w:r>
              <w:t>6</w:t>
            </w:r>
          </w:p>
        </w:tc>
        <w:tc>
          <w:tcPr>
            <w:tcW w:w="1710" w:type="dxa"/>
          </w:tcPr>
          <w:p w14:paraId="03C0E539" w14:textId="77777777" w:rsidR="00497E79" w:rsidRDefault="00497E79" w:rsidP="00F57C26">
            <w:pPr>
              <w:jc w:val="center"/>
            </w:pPr>
          </w:p>
        </w:tc>
        <w:tc>
          <w:tcPr>
            <w:tcW w:w="1980" w:type="dxa"/>
            <w:tcBorders>
              <w:right w:val="thinThickThinLargeGap" w:sz="24" w:space="0" w:color="auto"/>
            </w:tcBorders>
          </w:tcPr>
          <w:p w14:paraId="1A26649F" w14:textId="77777777" w:rsidR="00497E79" w:rsidRDefault="00497E79" w:rsidP="00F57C26">
            <w:pPr>
              <w:jc w:val="center"/>
            </w:pPr>
          </w:p>
        </w:tc>
        <w:tc>
          <w:tcPr>
            <w:tcW w:w="2070" w:type="dxa"/>
            <w:tcBorders>
              <w:left w:val="thinThickThinLargeGap" w:sz="24" w:space="0" w:color="auto"/>
            </w:tcBorders>
          </w:tcPr>
          <w:p w14:paraId="23EB570F" w14:textId="77777777" w:rsidR="00497E79" w:rsidRDefault="00497E79" w:rsidP="00F57C26">
            <w:pPr>
              <w:jc w:val="center"/>
            </w:pPr>
          </w:p>
        </w:tc>
        <w:tc>
          <w:tcPr>
            <w:tcW w:w="2155" w:type="dxa"/>
          </w:tcPr>
          <w:p w14:paraId="259476B1" w14:textId="77777777" w:rsidR="00497E79" w:rsidRDefault="00497E79" w:rsidP="00F57C26">
            <w:pPr>
              <w:jc w:val="center"/>
            </w:pPr>
          </w:p>
        </w:tc>
      </w:tr>
      <w:tr w:rsidR="00497E79" w14:paraId="0D3E3A72" w14:textId="4B9A19A6" w:rsidTr="00F57C26">
        <w:tc>
          <w:tcPr>
            <w:tcW w:w="715" w:type="dxa"/>
          </w:tcPr>
          <w:p w14:paraId="773D8ED5" w14:textId="57C261FE" w:rsidR="00497E79" w:rsidRDefault="00497E79" w:rsidP="00F57C26">
            <w:r>
              <w:t>7</w:t>
            </w:r>
          </w:p>
        </w:tc>
        <w:tc>
          <w:tcPr>
            <w:tcW w:w="1710" w:type="dxa"/>
          </w:tcPr>
          <w:p w14:paraId="291F1BD7" w14:textId="77777777" w:rsidR="00497E79" w:rsidRDefault="00497E79" w:rsidP="00F57C26">
            <w:pPr>
              <w:jc w:val="center"/>
            </w:pPr>
          </w:p>
        </w:tc>
        <w:tc>
          <w:tcPr>
            <w:tcW w:w="1980" w:type="dxa"/>
            <w:tcBorders>
              <w:right w:val="thinThickThinLargeGap" w:sz="24" w:space="0" w:color="auto"/>
            </w:tcBorders>
          </w:tcPr>
          <w:p w14:paraId="297BCB97" w14:textId="77777777" w:rsidR="00497E79" w:rsidRDefault="00497E79" w:rsidP="00F57C26">
            <w:pPr>
              <w:jc w:val="center"/>
            </w:pPr>
          </w:p>
        </w:tc>
        <w:tc>
          <w:tcPr>
            <w:tcW w:w="2070" w:type="dxa"/>
            <w:tcBorders>
              <w:left w:val="thinThickThinLargeGap" w:sz="24" w:space="0" w:color="auto"/>
            </w:tcBorders>
          </w:tcPr>
          <w:p w14:paraId="0552BA57" w14:textId="77777777" w:rsidR="00497E79" w:rsidRDefault="00497E79" w:rsidP="00F57C26">
            <w:pPr>
              <w:jc w:val="center"/>
            </w:pPr>
          </w:p>
        </w:tc>
        <w:tc>
          <w:tcPr>
            <w:tcW w:w="2155" w:type="dxa"/>
          </w:tcPr>
          <w:p w14:paraId="71D6DBBB" w14:textId="77777777" w:rsidR="00497E79" w:rsidRDefault="00497E79" w:rsidP="00F57C26">
            <w:pPr>
              <w:jc w:val="center"/>
            </w:pPr>
          </w:p>
        </w:tc>
      </w:tr>
      <w:tr w:rsidR="00497E79" w14:paraId="59EB3500" w14:textId="5AB87A63" w:rsidTr="00F57C26">
        <w:tc>
          <w:tcPr>
            <w:tcW w:w="715" w:type="dxa"/>
          </w:tcPr>
          <w:p w14:paraId="0F50BF53" w14:textId="573642C3" w:rsidR="00497E79" w:rsidRDefault="00497E79" w:rsidP="00F57C26">
            <w:r>
              <w:t>8</w:t>
            </w:r>
          </w:p>
        </w:tc>
        <w:tc>
          <w:tcPr>
            <w:tcW w:w="1710" w:type="dxa"/>
          </w:tcPr>
          <w:p w14:paraId="558DC161" w14:textId="77777777" w:rsidR="00497E79" w:rsidRDefault="00497E79" w:rsidP="00F57C26">
            <w:pPr>
              <w:jc w:val="center"/>
            </w:pPr>
          </w:p>
        </w:tc>
        <w:tc>
          <w:tcPr>
            <w:tcW w:w="1980" w:type="dxa"/>
            <w:tcBorders>
              <w:right w:val="thinThickThinLargeGap" w:sz="24" w:space="0" w:color="auto"/>
            </w:tcBorders>
          </w:tcPr>
          <w:p w14:paraId="3A409043" w14:textId="77777777" w:rsidR="00497E79" w:rsidRDefault="00497E79" w:rsidP="00F57C26">
            <w:pPr>
              <w:jc w:val="center"/>
            </w:pPr>
          </w:p>
        </w:tc>
        <w:tc>
          <w:tcPr>
            <w:tcW w:w="2070" w:type="dxa"/>
            <w:tcBorders>
              <w:left w:val="thinThickThinLargeGap" w:sz="24" w:space="0" w:color="auto"/>
            </w:tcBorders>
          </w:tcPr>
          <w:p w14:paraId="4CD4A944" w14:textId="77777777" w:rsidR="00497E79" w:rsidRDefault="00497E79" w:rsidP="00F57C26">
            <w:pPr>
              <w:jc w:val="center"/>
            </w:pPr>
          </w:p>
        </w:tc>
        <w:tc>
          <w:tcPr>
            <w:tcW w:w="2155" w:type="dxa"/>
          </w:tcPr>
          <w:p w14:paraId="723BFFB4" w14:textId="77777777" w:rsidR="00497E79" w:rsidRDefault="00497E79" w:rsidP="00F57C26">
            <w:pPr>
              <w:jc w:val="center"/>
            </w:pPr>
          </w:p>
        </w:tc>
      </w:tr>
    </w:tbl>
    <w:p w14:paraId="045F4F8E" w14:textId="77777777" w:rsidR="001710EC" w:rsidRDefault="001710EC"/>
    <w:p w14:paraId="5AEB357F" w14:textId="77777777" w:rsidR="00F57C26" w:rsidRDefault="00F57C26"/>
    <w:p w14:paraId="47536777" w14:textId="74BDC356" w:rsidR="00F57C26" w:rsidRDefault="00CA7025">
      <w:r>
        <w:t xml:space="preserve">Complete the rest of the table. Now let’s compare these depreciation amounts with straight-line and sum-of-digits methods. We will assume the salvage value of the </w:t>
      </w:r>
      <w:r w:rsidR="00152DFB">
        <w:t>asset</w:t>
      </w:r>
      <w:r>
        <w:t xml:space="preserve"> is $2,900.</w:t>
      </w:r>
    </w:p>
    <w:p w14:paraId="1CF90769" w14:textId="77777777" w:rsidR="00CA7025" w:rsidRDefault="00CA7025"/>
    <w:tbl>
      <w:tblPr>
        <w:tblStyle w:val="TableGrid"/>
        <w:tblpPr w:leftFromText="187" w:rightFromText="187" w:vertAnchor="page" w:horzAnchor="margin" w:tblpY="6428"/>
        <w:tblOverlap w:val="never"/>
        <w:tblW w:w="0" w:type="auto"/>
        <w:tblLook w:val="04A0" w:firstRow="1" w:lastRow="0" w:firstColumn="1" w:lastColumn="0" w:noHBand="0" w:noVBand="1"/>
      </w:tblPr>
      <w:tblGrid>
        <w:gridCol w:w="635"/>
        <w:gridCol w:w="1777"/>
        <w:gridCol w:w="1993"/>
        <w:gridCol w:w="540"/>
        <w:gridCol w:w="2085"/>
        <w:gridCol w:w="1600"/>
      </w:tblGrid>
      <w:tr w:rsidR="00F109C3" w14:paraId="5C08302B" w14:textId="77777777" w:rsidTr="00F109C3">
        <w:tc>
          <w:tcPr>
            <w:tcW w:w="635" w:type="dxa"/>
          </w:tcPr>
          <w:p w14:paraId="3222B00B" w14:textId="77777777" w:rsidR="00F109C3" w:rsidRDefault="00F109C3" w:rsidP="00CA7025"/>
        </w:tc>
        <w:tc>
          <w:tcPr>
            <w:tcW w:w="3770" w:type="dxa"/>
            <w:gridSpan w:val="2"/>
            <w:tcBorders>
              <w:right w:val="thinThickThinLargeGap" w:sz="24" w:space="0" w:color="auto"/>
            </w:tcBorders>
          </w:tcPr>
          <w:p w14:paraId="77C86BA3" w14:textId="36973604" w:rsidR="00F109C3" w:rsidRPr="00F57C26" w:rsidRDefault="00F109C3" w:rsidP="00CA7025">
            <w:pPr>
              <w:jc w:val="center"/>
              <w:rPr>
                <w:b/>
                <w:bCs/>
              </w:rPr>
            </w:pPr>
            <w:r>
              <w:rPr>
                <w:b/>
                <w:bCs/>
              </w:rPr>
              <w:t>Straight-line</w:t>
            </w:r>
            <w:r w:rsidRPr="00F57C26">
              <w:rPr>
                <w:b/>
                <w:bCs/>
              </w:rPr>
              <w:t xml:space="preserve"> Method</w:t>
            </w:r>
          </w:p>
        </w:tc>
        <w:tc>
          <w:tcPr>
            <w:tcW w:w="540" w:type="dxa"/>
            <w:tcBorders>
              <w:left w:val="thinThickThinLargeGap" w:sz="24" w:space="0" w:color="auto"/>
            </w:tcBorders>
          </w:tcPr>
          <w:p w14:paraId="18678F10" w14:textId="77777777" w:rsidR="00F109C3" w:rsidRDefault="00F109C3" w:rsidP="00CA7025">
            <w:pPr>
              <w:jc w:val="center"/>
              <w:rPr>
                <w:b/>
                <w:bCs/>
              </w:rPr>
            </w:pPr>
          </w:p>
        </w:tc>
        <w:tc>
          <w:tcPr>
            <w:tcW w:w="3685" w:type="dxa"/>
            <w:gridSpan w:val="2"/>
          </w:tcPr>
          <w:p w14:paraId="5ED63DA8" w14:textId="4EF49792" w:rsidR="00F109C3" w:rsidRPr="00F57C26" w:rsidRDefault="00F109C3" w:rsidP="00CA7025">
            <w:pPr>
              <w:jc w:val="center"/>
              <w:rPr>
                <w:b/>
                <w:bCs/>
              </w:rPr>
            </w:pPr>
            <w:r>
              <w:rPr>
                <w:b/>
                <w:bCs/>
              </w:rPr>
              <w:t>Sum-of-Digits</w:t>
            </w:r>
            <w:r w:rsidRPr="00F57C26">
              <w:rPr>
                <w:b/>
                <w:bCs/>
              </w:rPr>
              <w:t xml:space="preserve"> Method</w:t>
            </w:r>
          </w:p>
        </w:tc>
      </w:tr>
      <w:tr w:rsidR="00F109C3" w14:paraId="3B93ABCD" w14:textId="77777777" w:rsidTr="00F109C3">
        <w:tc>
          <w:tcPr>
            <w:tcW w:w="4405" w:type="dxa"/>
            <w:gridSpan w:val="3"/>
            <w:tcBorders>
              <w:right w:val="thinThickThinLargeGap" w:sz="24" w:space="0" w:color="auto"/>
            </w:tcBorders>
          </w:tcPr>
          <w:p w14:paraId="71B29A75" w14:textId="2D9F7D51" w:rsidR="00F109C3" w:rsidRPr="00F109C3" w:rsidRDefault="00F109C3" w:rsidP="00CA7025">
            <w:pPr>
              <w:rPr>
                <w:b/>
                <w:bCs/>
                <w:sz w:val="28"/>
                <w:szCs w:val="28"/>
              </w:rPr>
            </w:pPr>
            <m:oMathPara>
              <m:oMath>
                <m:r>
                  <m:rPr>
                    <m:sty m:val="bi"/>
                  </m:rPr>
                  <w:rPr>
                    <w:rFonts w:ascii="Cambria Math" w:hAnsi="Cambria Math"/>
                    <w:sz w:val="28"/>
                    <w:szCs w:val="28"/>
                  </w:rPr>
                  <m:t>OC-SV=29,000-2,900=26,100</m:t>
                </m:r>
              </m:oMath>
            </m:oMathPara>
          </w:p>
        </w:tc>
        <w:tc>
          <w:tcPr>
            <w:tcW w:w="540" w:type="dxa"/>
            <w:tcBorders>
              <w:left w:val="thinThickThinLargeGap" w:sz="24" w:space="0" w:color="auto"/>
            </w:tcBorders>
          </w:tcPr>
          <w:p w14:paraId="7DA7B37B" w14:textId="77777777" w:rsidR="00F109C3" w:rsidRPr="00F109C3" w:rsidRDefault="00F109C3" w:rsidP="00CA7025">
            <w:pPr>
              <w:rPr>
                <w:rFonts w:eastAsia="Aptos" w:cs="Times New Roman"/>
                <w:b/>
                <w:bCs/>
                <w:sz w:val="28"/>
                <w:szCs w:val="28"/>
              </w:rPr>
            </w:pPr>
          </w:p>
        </w:tc>
        <w:tc>
          <w:tcPr>
            <w:tcW w:w="3685" w:type="dxa"/>
            <w:gridSpan w:val="2"/>
          </w:tcPr>
          <w:p w14:paraId="021D5D5F" w14:textId="57E8162D" w:rsidR="00F109C3" w:rsidRPr="00F109C3" w:rsidRDefault="00F109C3" w:rsidP="00CA7025">
            <w:pPr>
              <w:rPr>
                <w:b/>
                <w:bCs/>
                <w:sz w:val="28"/>
                <w:szCs w:val="28"/>
              </w:rPr>
            </w:pPr>
            <m:oMathPara>
              <m:oMath>
                <m:r>
                  <m:rPr>
                    <m:sty m:val="b"/>
                  </m:rPr>
                  <w:rPr>
                    <w:rFonts w:ascii="Cambria Math" w:hAnsi="Cambria Math"/>
                    <w:sz w:val="28"/>
                    <w:szCs w:val="28"/>
                  </w:rPr>
                  <m:t>Σ</m:t>
                </m:r>
                <m:r>
                  <m:rPr>
                    <m:sty m:val="bi"/>
                  </m:rPr>
                  <w:rPr>
                    <w:rFonts w:ascii="Cambria Math" w:hAnsi="Cambria Math"/>
                    <w:sz w:val="28"/>
                    <w:szCs w:val="28"/>
                  </w:rPr>
                  <m:t>=8×9÷2=36</m:t>
                </m:r>
              </m:oMath>
            </m:oMathPara>
          </w:p>
        </w:tc>
      </w:tr>
      <w:tr w:rsidR="00F109C3" w14:paraId="4EB5C596" w14:textId="77777777" w:rsidTr="00F109C3">
        <w:tc>
          <w:tcPr>
            <w:tcW w:w="635" w:type="dxa"/>
          </w:tcPr>
          <w:p w14:paraId="412CCF2B" w14:textId="77777777" w:rsidR="00F109C3" w:rsidRDefault="00F109C3" w:rsidP="00CA7025">
            <w:r>
              <w:t>Year</w:t>
            </w:r>
          </w:p>
        </w:tc>
        <w:tc>
          <w:tcPr>
            <w:tcW w:w="1777" w:type="dxa"/>
          </w:tcPr>
          <w:p w14:paraId="6F146D86" w14:textId="77777777" w:rsidR="00F109C3" w:rsidRDefault="00F109C3" w:rsidP="00CA7025">
            <w:r>
              <w:t>Depreciation Amount</w:t>
            </w:r>
          </w:p>
        </w:tc>
        <w:tc>
          <w:tcPr>
            <w:tcW w:w="1993" w:type="dxa"/>
            <w:tcBorders>
              <w:right w:val="thinThickThinLargeGap" w:sz="24" w:space="0" w:color="auto"/>
            </w:tcBorders>
          </w:tcPr>
          <w:p w14:paraId="7DBAA3C3" w14:textId="77777777" w:rsidR="00F109C3" w:rsidRDefault="00F109C3" w:rsidP="00CA7025">
            <w:r>
              <w:t>Book Value (BV)</w:t>
            </w:r>
          </w:p>
        </w:tc>
        <w:tc>
          <w:tcPr>
            <w:tcW w:w="540" w:type="dxa"/>
            <w:tcBorders>
              <w:left w:val="thinThickThinLargeGap" w:sz="24" w:space="0" w:color="auto"/>
            </w:tcBorders>
          </w:tcPr>
          <w:p w14:paraId="23A6A3E3" w14:textId="5C8E42C9" w:rsidR="00F109C3" w:rsidRPr="00F109C3" w:rsidRDefault="00F109C3" w:rsidP="00F109C3">
            <w:pPr>
              <w:jc w:val="center"/>
              <w:rPr>
                <w:rFonts w:ascii="Cambria Math" w:hAnsi="Cambria Math"/>
                <w:b/>
                <w:bCs/>
              </w:rPr>
            </w:pPr>
            <w:r w:rsidRPr="00F109C3">
              <w:rPr>
                <w:rFonts w:ascii="Cambria Math" w:hAnsi="Cambria Math"/>
                <w:b/>
                <w:bCs/>
              </w:rPr>
              <w:t>X</w:t>
            </w:r>
          </w:p>
        </w:tc>
        <w:tc>
          <w:tcPr>
            <w:tcW w:w="2085" w:type="dxa"/>
          </w:tcPr>
          <w:p w14:paraId="7C297A3B" w14:textId="259D6E8B" w:rsidR="00F109C3" w:rsidRDefault="00F109C3" w:rsidP="00CA7025">
            <w:r>
              <w:t>Depreciation Amount</w:t>
            </w:r>
          </w:p>
        </w:tc>
        <w:tc>
          <w:tcPr>
            <w:tcW w:w="1600" w:type="dxa"/>
          </w:tcPr>
          <w:p w14:paraId="5E431627" w14:textId="77777777" w:rsidR="00F109C3" w:rsidRDefault="00F109C3" w:rsidP="00CA7025">
            <w:r>
              <w:t>Book Value (BV)</w:t>
            </w:r>
          </w:p>
        </w:tc>
      </w:tr>
      <w:tr w:rsidR="00F109C3" w14:paraId="7AF504EC" w14:textId="77777777" w:rsidTr="00F109C3">
        <w:tc>
          <w:tcPr>
            <w:tcW w:w="635" w:type="dxa"/>
          </w:tcPr>
          <w:p w14:paraId="2E69E927" w14:textId="77777777" w:rsidR="00F109C3" w:rsidRDefault="00F109C3" w:rsidP="00CA7025">
            <w:r>
              <w:t>0</w:t>
            </w:r>
          </w:p>
        </w:tc>
        <w:tc>
          <w:tcPr>
            <w:tcW w:w="1777" w:type="dxa"/>
          </w:tcPr>
          <w:p w14:paraId="302258F5" w14:textId="0A32E602" w:rsidR="00F109C3" w:rsidRPr="00497E79" w:rsidRDefault="00F109C3" w:rsidP="00CA7025">
            <w:pPr>
              <w:jc w:val="center"/>
              <w:rPr>
                <w:rFonts w:eastAsiaTheme="minorEastAsia"/>
                <w:b/>
                <w:bCs/>
                <w:sz w:val="28"/>
                <w:szCs w:val="28"/>
              </w:rPr>
            </w:pPr>
            <m:oMathPara>
              <m:oMath>
                <m:r>
                  <m:rPr>
                    <m:sty m:val="bi"/>
                  </m:rPr>
                  <w:rPr>
                    <w:rFonts w:ascii="Cambria Math" w:hAnsi="Cambria Math"/>
                    <w:sz w:val="28"/>
                    <w:szCs w:val="28"/>
                  </w:rPr>
                  <m:t>(OC-SV)÷N</m:t>
                </m:r>
              </m:oMath>
            </m:oMathPara>
          </w:p>
        </w:tc>
        <w:tc>
          <w:tcPr>
            <w:tcW w:w="1993" w:type="dxa"/>
            <w:tcBorders>
              <w:right w:val="thinThickThinLargeGap" w:sz="24" w:space="0" w:color="auto"/>
            </w:tcBorders>
          </w:tcPr>
          <w:p w14:paraId="30BB760A" w14:textId="0814B7EA" w:rsidR="00F109C3" w:rsidRPr="00497E79" w:rsidRDefault="00C25402" w:rsidP="00CA7025">
            <w:pPr>
              <w:jc w:val="center"/>
              <w:rPr>
                <w:rFonts w:eastAsiaTheme="minorEastAsia"/>
                <w:b/>
                <w:bCs/>
                <w:sz w:val="28"/>
                <w:szCs w:val="28"/>
              </w:rPr>
            </w:pPr>
            <w:r>
              <w:t xml:space="preserve">Cost = </w:t>
            </w:r>
            <w:r w:rsidR="00F109C3">
              <w:t>29,000.00</w:t>
            </w:r>
          </w:p>
        </w:tc>
        <w:tc>
          <w:tcPr>
            <w:tcW w:w="540" w:type="dxa"/>
            <w:tcBorders>
              <w:left w:val="thinThickThinLargeGap" w:sz="24" w:space="0" w:color="auto"/>
            </w:tcBorders>
          </w:tcPr>
          <w:p w14:paraId="0F82970E" w14:textId="2F5D6B10" w:rsidR="00F109C3" w:rsidRPr="00F109C3" w:rsidRDefault="00F109C3" w:rsidP="00CA7025">
            <w:pPr>
              <w:jc w:val="center"/>
              <w:rPr>
                <w:rFonts w:eastAsia="Aptos" w:cs="Times New Roman"/>
              </w:rPr>
            </w:pPr>
          </w:p>
        </w:tc>
        <w:tc>
          <w:tcPr>
            <w:tcW w:w="2085" w:type="dxa"/>
          </w:tcPr>
          <w:p w14:paraId="22AC189A" w14:textId="4AEA09B1" w:rsidR="00F109C3" w:rsidRDefault="00F109C3" w:rsidP="00CA7025">
            <w:pPr>
              <w:jc w:val="center"/>
            </w:pPr>
            <m:oMathPara>
              <m:oMath>
                <m:r>
                  <m:rPr>
                    <m:sty m:val="bi"/>
                  </m:rPr>
                  <w:rPr>
                    <w:rFonts w:ascii="Cambria Math" w:eastAsiaTheme="minorEastAsia" w:hAnsi="Cambria Math"/>
                    <w:sz w:val="28"/>
                    <w:szCs w:val="28"/>
                  </w:rPr>
                  <m:t>(OC-SV)×X÷</m:t>
                </m:r>
                <m:r>
                  <m:rPr>
                    <m:sty m:val="b"/>
                  </m:rPr>
                  <w:rPr>
                    <w:rFonts w:ascii="Cambria Math" w:eastAsiaTheme="minorEastAsia" w:hAnsi="Cambria Math"/>
                    <w:sz w:val="28"/>
                    <w:szCs w:val="28"/>
                  </w:rPr>
                  <m:t>Σ</m:t>
                </m:r>
              </m:oMath>
            </m:oMathPara>
          </w:p>
        </w:tc>
        <w:tc>
          <w:tcPr>
            <w:tcW w:w="1600" w:type="dxa"/>
          </w:tcPr>
          <w:p w14:paraId="3F38A3E9" w14:textId="5A296921" w:rsidR="00F109C3" w:rsidRDefault="00C25402" w:rsidP="00CA7025">
            <w:pPr>
              <w:jc w:val="center"/>
            </w:pPr>
            <w:r>
              <w:t xml:space="preserve">Cost = </w:t>
            </w:r>
            <w:r w:rsidR="00F109C3">
              <w:t>29,000.00</w:t>
            </w:r>
          </w:p>
        </w:tc>
      </w:tr>
      <w:tr w:rsidR="00F109C3" w14:paraId="45B6EAD1" w14:textId="77777777" w:rsidTr="00F109C3">
        <w:tc>
          <w:tcPr>
            <w:tcW w:w="635" w:type="dxa"/>
          </w:tcPr>
          <w:p w14:paraId="24CAC56D" w14:textId="77777777" w:rsidR="00F109C3" w:rsidRDefault="00F109C3" w:rsidP="00CA7025">
            <w:r>
              <w:t>1</w:t>
            </w:r>
          </w:p>
        </w:tc>
        <w:tc>
          <w:tcPr>
            <w:tcW w:w="1777" w:type="dxa"/>
          </w:tcPr>
          <w:p w14:paraId="1204AB76" w14:textId="253CEA23" w:rsidR="00F109C3" w:rsidRDefault="00F109C3" w:rsidP="00CA7025">
            <w:pPr>
              <w:jc w:val="center"/>
            </w:pPr>
            <w:r>
              <w:t>3,262.50</w:t>
            </w:r>
          </w:p>
        </w:tc>
        <w:tc>
          <w:tcPr>
            <w:tcW w:w="1993" w:type="dxa"/>
            <w:tcBorders>
              <w:right w:val="thinThickThinLargeGap" w:sz="24" w:space="0" w:color="auto"/>
            </w:tcBorders>
          </w:tcPr>
          <w:p w14:paraId="58327E92" w14:textId="7F2CE9B8" w:rsidR="00F109C3" w:rsidRDefault="00F109C3" w:rsidP="00CA7025">
            <w:pPr>
              <w:jc w:val="center"/>
            </w:pPr>
            <w:r>
              <w:t>25,737.50</w:t>
            </w:r>
          </w:p>
        </w:tc>
        <w:tc>
          <w:tcPr>
            <w:tcW w:w="540" w:type="dxa"/>
            <w:tcBorders>
              <w:left w:val="thinThickThinLargeGap" w:sz="24" w:space="0" w:color="auto"/>
            </w:tcBorders>
          </w:tcPr>
          <w:p w14:paraId="657A06B1" w14:textId="1EF5F98F" w:rsidR="00F109C3" w:rsidRDefault="00BA72A0" w:rsidP="00CA7025">
            <w:pPr>
              <w:jc w:val="center"/>
            </w:pPr>
            <w:r>
              <w:t>8</w:t>
            </w:r>
          </w:p>
        </w:tc>
        <w:tc>
          <w:tcPr>
            <w:tcW w:w="2085" w:type="dxa"/>
          </w:tcPr>
          <w:p w14:paraId="242E836D" w14:textId="2F42932F" w:rsidR="00F109C3" w:rsidRDefault="00087896" w:rsidP="00CA7025">
            <w:pPr>
              <w:jc w:val="center"/>
            </w:pPr>
            <w:r>
              <w:t>5,800.00</w:t>
            </w:r>
          </w:p>
        </w:tc>
        <w:tc>
          <w:tcPr>
            <w:tcW w:w="1600" w:type="dxa"/>
          </w:tcPr>
          <w:p w14:paraId="2774C504" w14:textId="00744929" w:rsidR="00F109C3" w:rsidRDefault="00087896" w:rsidP="00CA7025">
            <w:pPr>
              <w:jc w:val="center"/>
            </w:pPr>
            <w:r>
              <w:t>23,200.00</w:t>
            </w:r>
          </w:p>
        </w:tc>
      </w:tr>
      <w:tr w:rsidR="00F109C3" w14:paraId="35972F0E" w14:textId="77777777" w:rsidTr="00F109C3">
        <w:tc>
          <w:tcPr>
            <w:tcW w:w="635" w:type="dxa"/>
          </w:tcPr>
          <w:p w14:paraId="155B2EE4" w14:textId="77777777" w:rsidR="00F109C3" w:rsidRDefault="00F109C3" w:rsidP="00CA7025">
            <w:r>
              <w:t>2</w:t>
            </w:r>
          </w:p>
        </w:tc>
        <w:tc>
          <w:tcPr>
            <w:tcW w:w="1777" w:type="dxa"/>
          </w:tcPr>
          <w:p w14:paraId="6622A7EF" w14:textId="005B386A" w:rsidR="00F109C3" w:rsidRDefault="00F109C3" w:rsidP="00CA7025">
            <w:pPr>
              <w:jc w:val="center"/>
            </w:pPr>
            <w:r>
              <w:t>3,262.50</w:t>
            </w:r>
          </w:p>
        </w:tc>
        <w:tc>
          <w:tcPr>
            <w:tcW w:w="1993" w:type="dxa"/>
            <w:tcBorders>
              <w:right w:val="thinThickThinLargeGap" w:sz="24" w:space="0" w:color="auto"/>
            </w:tcBorders>
          </w:tcPr>
          <w:p w14:paraId="5A916420" w14:textId="7FA1459B" w:rsidR="00F109C3" w:rsidRDefault="00F109C3" w:rsidP="00CA7025">
            <w:pPr>
              <w:jc w:val="center"/>
            </w:pPr>
            <w:r>
              <w:t>22,475.00</w:t>
            </w:r>
          </w:p>
        </w:tc>
        <w:tc>
          <w:tcPr>
            <w:tcW w:w="540" w:type="dxa"/>
            <w:tcBorders>
              <w:left w:val="thinThickThinLargeGap" w:sz="24" w:space="0" w:color="auto"/>
            </w:tcBorders>
          </w:tcPr>
          <w:p w14:paraId="12D073B8" w14:textId="3A9D3463" w:rsidR="00F109C3" w:rsidRDefault="00BA72A0" w:rsidP="00CA7025">
            <w:pPr>
              <w:jc w:val="center"/>
            </w:pPr>
            <w:r>
              <w:t>7</w:t>
            </w:r>
          </w:p>
        </w:tc>
        <w:tc>
          <w:tcPr>
            <w:tcW w:w="2085" w:type="dxa"/>
          </w:tcPr>
          <w:p w14:paraId="16BAF379" w14:textId="02F0EE95" w:rsidR="00F109C3" w:rsidRDefault="00BA72A0" w:rsidP="00CA7025">
            <w:pPr>
              <w:jc w:val="center"/>
            </w:pPr>
            <w:r>
              <w:t>5,075.00</w:t>
            </w:r>
          </w:p>
        </w:tc>
        <w:tc>
          <w:tcPr>
            <w:tcW w:w="1600" w:type="dxa"/>
          </w:tcPr>
          <w:p w14:paraId="1D1B2640" w14:textId="02D48F82" w:rsidR="00F109C3" w:rsidRDefault="00087896" w:rsidP="00CA7025">
            <w:pPr>
              <w:jc w:val="center"/>
            </w:pPr>
            <w:r>
              <w:t>18,125.00</w:t>
            </w:r>
          </w:p>
        </w:tc>
      </w:tr>
      <w:tr w:rsidR="00F109C3" w14:paraId="02754071" w14:textId="77777777" w:rsidTr="00F109C3">
        <w:tc>
          <w:tcPr>
            <w:tcW w:w="635" w:type="dxa"/>
          </w:tcPr>
          <w:p w14:paraId="03F502B5" w14:textId="77777777" w:rsidR="00F109C3" w:rsidRDefault="00F109C3" w:rsidP="00CA7025">
            <w:r>
              <w:t>3</w:t>
            </w:r>
          </w:p>
        </w:tc>
        <w:tc>
          <w:tcPr>
            <w:tcW w:w="1777" w:type="dxa"/>
          </w:tcPr>
          <w:p w14:paraId="69758C54" w14:textId="77777777" w:rsidR="00F109C3" w:rsidRDefault="00F109C3" w:rsidP="00CA7025">
            <w:pPr>
              <w:jc w:val="center"/>
            </w:pPr>
          </w:p>
        </w:tc>
        <w:tc>
          <w:tcPr>
            <w:tcW w:w="1993" w:type="dxa"/>
            <w:tcBorders>
              <w:right w:val="thinThickThinLargeGap" w:sz="24" w:space="0" w:color="auto"/>
            </w:tcBorders>
          </w:tcPr>
          <w:p w14:paraId="5D9563A8" w14:textId="77777777" w:rsidR="00F109C3" w:rsidRDefault="00F109C3" w:rsidP="00CA7025">
            <w:pPr>
              <w:jc w:val="center"/>
            </w:pPr>
          </w:p>
        </w:tc>
        <w:tc>
          <w:tcPr>
            <w:tcW w:w="540" w:type="dxa"/>
            <w:tcBorders>
              <w:left w:val="thinThickThinLargeGap" w:sz="24" w:space="0" w:color="auto"/>
            </w:tcBorders>
          </w:tcPr>
          <w:p w14:paraId="6E394BB9" w14:textId="6D79C05F" w:rsidR="00F109C3" w:rsidRDefault="00BA72A0" w:rsidP="00CA7025">
            <w:pPr>
              <w:jc w:val="center"/>
            </w:pPr>
            <w:r>
              <w:t>6</w:t>
            </w:r>
          </w:p>
        </w:tc>
        <w:tc>
          <w:tcPr>
            <w:tcW w:w="2085" w:type="dxa"/>
          </w:tcPr>
          <w:p w14:paraId="471D0883" w14:textId="7EF779A9" w:rsidR="00F109C3" w:rsidRDefault="00BA72A0" w:rsidP="00CA7025">
            <w:pPr>
              <w:jc w:val="center"/>
            </w:pPr>
            <w:r>
              <w:t>4,350.00</w:t>
            </w:r>
          </w:p>
        </w:tc>
        <w:tc>
          <w:tcPr>
            <w:tcW w:w="1600" w:type="dxa"/>
          </w:tcPr>
          <w:p w14:paraId="3FDC5352" w14:textId="77777777" w:rsidR="00F109C3" w:rsidRDefault="00F109C3" w:rsidP="00CA7025">
            <w:pPr>
              <w:jc w:val="center"/>
            </w:pPr>
          </w:p>
        </w:tc>
      </w:tr>
      <w:tr w:rsidR="00F109C3" w14:paraId="590D3B36" w14:textId="77777777" w:rsidTr="00F109C3">
        <w:tc>
          <w:tcPr>
            <w:tcW w:w="635" w:type="dxa"/>
          </w:tcPr>
          <w:p w14:paraId="6735E5BF" w14:textId="77777777" w:rsidR="00F109C3" w:rsidRDefault="00F109C3" w:rsidP="00CA7025">
            <w:r>
              <w:t>4</w:t>
            </w:r>
          </w:p>
        </w:tc>
        <w:tc>
          <w:tcPr>
            <w:tcW w:w="1777" w:type="dxa"/>
          </w:tcPr>
          <w:p w14:paraId="19BBC129" w14:textId="77777777" w:rsidR="00F109C3" w:rsidRDefault="00F109C3" w:rsidP="00CA7025">
            <w:pPr>
              <w:jc w:val="center"/>
            </w:pPr>
          </w:p>
        </w:tc>
        <w:tc>
          <w:tcPr>
            <w:tcW w:w="1993" w:type="dxa"/>
            <w:tcBorders>
              <w:right w:val="thinThickThinLargeGap" w:sz="24" w:space="0" w:color="auto"/>
            </w:tcBorders>
          </w:tcPr>
          <w:p w14:paraId="52EDF42C" w14:textId="77777777" w:rsidR="00F109C3" w:rsidRDefault="00F109C3" w:rsidP="00CA7025">
            <w:pPr>
              <w:jc w:val="center"/>
            </w:pPr>
          </w:p>
        </w:tc>
        <w:tc>
          <w:tcPr>
            <w:tcW w:w="540" w:type="dxa"/>
            <w:tcBorders>
              <w:left w:val="thinThickThinLargeGap" w:sz="24" w:space="0" w:color="auto"/>
            </w:tcBorders>
          </w:tcPr>
          <w:p w14:paraId="4BD63E13" w14:textId="15EB0EA1" w:rsidR="00F109C3" w:rsidRDefault="00BA72A0" w:rsidP="00CA7025">
            <w:pPr>
              <w:jc w:val="center"/>
            </w:pPr>
            <w:r>
              <w:t>5</w:t>
            </w:r>
          </w:p>
        </w:tc>
        <w:tc>
          <w:tcPr>
            <w:tcW w:w="2085" w:type="dxa"/>
          </w:tcPr>
          <w:p w14:paraId="0DBD1142" w14:textId="4491BE9B" w:rsidR="00F109C3" w:rsidRDefault="00BA72A0" w:rsidP="00CA7025">
            <w:pPr>
              <w:jc w:val="center"/>
            </w:pPr>
            <w:r>
              <w:t>3,625.00</w:t>
            </w:r>
          </w:p>
        </w:tc>
        <w:tc>
          <w:tcPr>
            <w:tcW w:w="1600" w:type="dxa"/>
          </w:tcPr>
          <w:p w14:paraId="294BB937" w14:textId="77777777" w:rsidR="00F109C3" w:rsidRDefault="00F109C3" w:rsidP="00CA7025">
            <w:pPr>
              <w:jc w:val="center"/>
            </w:pPr>
          </w:p>
        </w:tc>
      </w:tr>
      <w:tr w:rsidR="00F109C3" w14:paraId="783064DC" w14:textId="77777777" w:rsidTr="00F109C3">
        <w:tc>
          <w:tcPr>
            <w:tcW w:w="635" w:type="dxa"/>
          </w:tcPr>
          <w:p w14:paraId="6BA5645A" w14:textId="77777777" w:rsidR="00F109C3" w:rsidRDefault="00F109C3" w:rsidP="00CA7025">
            <w:r>
              <w:t>5</w:t>
            </w:r>
          </w:p>
        </w:tc>
        <w:tc>
          <w:tcPr>
            <w:tcW w:w="1777" w:type="dxa"/>
          </w:tcPr>
          <w:p w14:paraId="4307B373" w14:textId="77777777" w:rsidR="00F109C3" w:rsidRDefault="00F109C3" w:rsidP="00CA7025">
            <w:pPr>
              <w:jc w:val="center"/>
            </w:pPr>
          </w:p>
        </w:tc>
        <w:tc>
          <w:tcPr>
            <w:tcW w:w="1993" w:type="dxa"/>
            <w:tcBorders>
              <w:right w:val="thinThickThinLargeGap" w:sz="24" w:space="0" w:color="auto"/>
            </w:tcBorders>
          </w:tcPr>
          <w:p w14:paraId="197C2C34" w14:textId="77777777" w:rsidR="00F109C3" w:rsidRDefault="00F109C3" w:rsidP="00CA7025">
            <w:pPr>
              <w:jc w:val="center"/>
            </w:pPr>
          </w:p>
        </w:tc>
        <w:tc>
          <w:tcPr>
            <w:tcW w:w="540" w:type="dxa"/>
            <w:tcBorders>
              <w:left w:val="thinThickThinLargeGap" w:sz="24" w:space="0" w:color="auto"/>
            </w:tcBorders>
          </w:tcPr>
          <w:p w14:paraId="3BA4D573" w14:textId="1EC5C60B" w:rsidR="00F109C3" w:rsidRDefault="00BA72A0" w:rsidP="00CA7025">
            <w:pPr>
              <w:jc w:val="center"/>
            </w:pPr>
            <w:r>
              <w:t>4</w:t>
            </w:r>
          </w:p>
        </w:tc>
        <w:tc>
          <w:tcPr>
            <w:tcW w:w="2085" w:type="dxa"/>
          </w:tcPr>
          <w:p w14:paraId="4BB8902C" w14:textId="75182DE0" w:rsidR="00F109C3" w:rsidRDefault="00F109C3" w:rsidP="00CA7025">
            <w:pPr>
              <w:jc w:val="center"/>
            </w:pPr>
          </w:p>
        </w:tc>
        <w:tc>
          <w:tcPr>
            <w:tcW w:w="1600" w:type="dxa"/>
          </w:tcPr>
          <w:p w14:paraId="027FB431" w14:textId="77777777" w:rsidR="00F109C3" w:rsidRDefault="00F109C3" w:rsidP="00CA7025">
            <w:pPr>
              <w:jc w:val="center"/>
            </w:pPr>
          </w:p>
        </w:tc>
      </w:tr>
      <w:tr w:rsidR="00F109C3" w14:paraId="370B4116" w14:textId="77777777" w:rsidTr="00F109C3">
        <w:tc>
          <w:tcPr>
            <w:tcW w:w="635" w:type="dxa"/>
          </w:tcPr>
          <w:p w14:paraId="739A3A71" w14:textId="77777777" w:rsidR="00F109C3" w:rsidRDefault="00F109C3" w:rsidP="00CA7025">
            <w:r>
              <w:t>6</w:t>
            </w:r>
          </w:p>
        </w:tc>
        <w:tc>
          <w:tcPr>
            <w:tcW w:w="1777" w:type="dxa"/>
          </w:tcPr>
          <w:p w14:paraId="7EC0EED1" w14:textId="77777777" w:rsidR="00F109C3" w:rsidRDefault="00F109C3" w:rsidP="00CA7025">
            <w:pPr>
              <w:jc w:val="center"/>
            </w:pPr>
          </w:p>
        </w:tc>
        <w:tc>
          <w:tcPr>
            <w:tcW w:w="1993" w:type="dxa"/>
            <w:tcBorders>
              <w:right w:val="thinThickThinLargeGap" w:sz="24" w:space="0" w:color="auto"/>
            </w:tcBorders>
          </w:tcPr>
          <w:p w14:paraId="4A96CC2D" w14:textId="77777777" w:rsidR="00F109C3" w:rsidRDefault="00F109C3" w:rsidP="00CA7025">
            <w:pPr>
              <w:jc w:val="center"/>
            </w:pPr>
          </w:p>
        </w:tc>
        <w:tc>
          <w:tcPr>
            <w:tcW w:w="540" w:type="dxa"/>
            <w:tcBorders>
              <w:left w:val="thinThickThinLargeGap" w:sz="24" w:space="0" w:color="auto"/>
            </w:tcBorders>
          </w:tcPr>
          <w:p w14:paraId="5A5E39C8" w14:textId="7AC7932C" w:rsidR="00F109C3" w:rsidRDefault="00BA72A0" w:rsidP="00CA7025">
            <w:pPr>
              <w:jc w:val="center"/>
            </w:pPr>
            <w:r>
              <w:t>3</w:t>
            </w:r>
          </w:p>
        </w:tc>
        <w:tc>
          <w:tcPr>
            <w:tcW w:w="2085" w:type="dxa"/>
          </w:tcPr>
          <w:p w14:paraId="1623A4C1" w14:textId="3D9D65FC" w:rsidR="00F109C3" w:rsidRDefault="00F109C3" w:rsidP="00CA7025">
            <w:pPr>
              <w:jc w:val="center"/>
            </w:pPr>
          </w:p>
        </w:tc>
        <w:tc>
          <w:tcPr>
            <w:tcW w:w="1600" w:type="dxa"/>
          </w:tcPr>
          <w:p w14:paraId="707441BF" w14:textId="77777777" w:rsidR="00F109C3" w:rsidRDefault="00F109C3" w:rsidP="00CA7025">
            <w:pPr>
              <w:jc w:val="center"/>
            </w:pPr>
          </w:p>
        </w:tc>
      </w:tr>
      <w:tr w:rsidR="00F109C3" w14:paraId="1CDCEF2B" w14:textId="77777777" w:rsidTr="00F109C3">
        <w:tc>
          <w:tcPr>
            <w:tcW w:w="635" w:type="dxa"/>
          </w:tcPr>
          <w:p w14:paraId="45CCB6D8" w14:textId="77777777" w:rsidR="00F109C3" w:rsidRDefault="00F109C3" w:rsidP="00CA7025">
            <w:r>
              <w:t>7</w:t>
            </w:r>
          </w:p>
        </w:tc>
        <w:tc>
          <w:tcPr>
            <w:tcW w:w="1777" w:type="dxa"/>
          </w:tcPr>
          <w:p w14:paraId="598F4BBE" w14:textId="77777777" w:rsidR="00F109C3" w:rsidRDefault="00F109C3" w:rsidP="00CA7025">
            <w:pPr>
              <w:jc w:val="center"/>
            </w:pPr>
          </w:p>
        </w:tc>
        <w:tc>
          <w:tcPr>
            <w:tcW w:w="1993" w:type="dxa"/>
            <w:tcBorders>
              <w:right w:val="thinThickThinLargeGap" w:sz="24" w:space="0" w:color="auto"/>
            </w:tcBorders>
          </w:tcPr>
          <w:p w14:paraId="6959989B" w14:textId="77777777" w:rsidR="00F109C3" w:rsidRDefault="00F109C3" w:rsidP="00CA7025">
            <w:pPr>
              <w:jc w:val="center"/>
            </w:pPr>
          </w:p>
        </w:tc>
        <w:tc>
          <w:tcPr>
            <w:tcW w:w="540" w:type="dxa"/>
            <w:tcBorders>
              <w:left w:val="thinThickThinLargeGap" w:sz="24" w:space="0" w:color="auto"/>
            </w:tcBorders>
          </w:tcPr>
          <w:p w14:paraId="5EF86FAC" w14:textId="44606D2B" w:rsidR="00F109C3" w:rsidRDefault="00BA72A0" w:rsidP="00CA7025">
            <w:pPr>
              <w:jc w:val="center"/>
            </w:pPr>
            <w:r>
              <w:t>2</w:t>
            </w:r>
          </w:p>
        </w:tc>
        <w:tc>
          <w:tcPr>
            <w:tcW w:w="2085" w:type="dxa"/>
          </w:tcPr>
          <w:p w14:paraId="2D405152" w14:textId="6BDB8133" w:rsidR="00F109C3" w:rsidRDefault="00F109C3" w:rsidP="00CA7025">
            <w:pPr>
              <w:jc w:val="center"/>
            </w:pPr>
          </w:p>
        </w:tc>
        <w:tc>
          <w:tcPr>
            <w:tcW w:w="1600" w:type="dxa"/>
          </w:tcPr>
          <w:p w14:paraId="177C768E" w14:textId="77777777" w:rsidR="00F109C3" w:rsidRDefault="00F109C3" w:rsidP="00CA7025">
            <w:pPr>
              <w:jc w:val="center"/>
            </w:pPr>
          </w:p>
        </w:tc>
      </w:tr>
      <w:tr w:rsidR="00F109C3" w14:paraId="47FAA85F" w14:textId="77777777" w:rsidTr="00F109C3">
        <w:tc>
          <w:tcPr>
            <w:tcW w:w="635" w:type="dxa"/>
          </w:tcPr>
          <w:p w14:paraId="62D00655" w14:textId="77777777" w:rsidR="00F109C3" w:rsidRDefault="00F109C3" w:rsidP="00CA7025">
            <w:r>
              <w:t>8</w:t>
            </w:r>
          </w:p>
        </w:tc>
        <w:tc>
          <w:tcPr>
            <w:tcW w:w="1777" w:type="dxa"/>
          </w:tcPr>
          <w:p w14:paraId="618FD02E" w14:textId="77777777" w:rsidR="00F109C3" w:rsidRDefault="00F109C3" w:rsidP="00CA7025">
            <w:pPr>
              <w:jc w:val="center"/>
            </w:pPr>
          </w:p>
        </w:tc>
        <w:tc>
          <w:tcPr>
            <w:tcW w:w="1993" w:type="dxa"/>
            <w:tcBorders>
              <w:right w:val="thinThickThinLargeGap" w:sz="24" w:space="0" w:color="auto"/>
            </w:tcBorders>
          </w:tcPr>
          <w:p w14:paraId="653264BA" w14:textId="77777777" w:rsidR="00F109C3" w:rsidRDefault="00F109C3" w:rsidP="00CA7025">
            <w:pPr>
              <w:jc w:val="center"/>
            </w:pPr>
          </w:p>
        </w:tc>
        <w:tc>
          <w:tcPr>
            <w:tcW w:w="540" w:type="dxa"/>
            <w:tcBorders>
              <w:left w:val="thinThickThinLargeGap" w:sz="24" w:space="0" w:color="auto"/>
            </w:tcBorders>
          </w:tcPr>
          <w:p w14:paraId="7FFA87C9" w14:textId="0146367C" w:rsidR="00F109C3" w:rsidRDefault="00BA72A0" w:rsidP="00CA7025">
            <w:pPr>
              <w:jc w:val="center"/>
            </w:pPr>
            <w:r>
              <w:t>1</w:t>
            </w:r>
          </w:p>
        </w:tc>
        <w:tc>
          <w:tcPr>
            <w:tcW w:w="2085" w:type="dxa"/>
          </w:tcPr>
          <w:p w14:paraId="594F229D" w14:textId="7BE0F3EB" w:rsidR="00F109C3" w:rsidRDefault="00F109C3" w:rsidP="00CA7025">
            <w:pPr>
              <w:jc w:val="center"/>
            </w:pPr>
          </w:p>
        </w:tc>
        <w:tc>
          <w:tcPr>
            <w:tcW w:w="1600" w:type="dxa"/>
          </w:tcPr>
          <w:p w14:paraId="4BEFC237" w14:textId="77777777" w:rsidR="00F109C3" w:rsidRDefault="00F109C3" w:rsidP="00CA7025">
            <w:pPr>
              <w:jc w:val="center"/>
            </w:pPr>
          </w:p>
        </w:tc>
      </w:tr>
    </w:tbl>
    <w:p w14:paraId="044A81E6" w14:textId="7718558F" w:rsidR="00CA7025" w:rsidRDefault="00087896">
      <w:r>
        <w:t xml:space="preserve">Complete the rest of the table. Be ready to talk about the differences between these approaches. What assumptions do you think are made? If the printer becomes less productive as time goes on, resulting in 5% </w:t>
      </w:r>
      <w:r w:rsidR="00DA4565">
        <w:t>less operating time</w:t>
      </w:r>
      <w:r w:rsidR="008B10CC">
        <w:t xml:space="preserve"> each year from one year to the next, and as a result income also decreases by 5% of the previous year’s income which model makes the most sense from a cost-income perspective?</w:t>
      </w:r>
    </w:p>
    <w:p w14:paraId="28EBAAE4" w14:textId="77777777" w:rsidR="008B10CC" w:rsidRDefault="008B10CC"/>
    <w:p w14:paraId="662464E8" w14:textId="77777777" w:rsidR="008B10CC" w:rsidRDefault="008B10CC"/>
    <w:p w14:paraId="3DEFAA9E" w14:textId="77777777" w:rsidR="008B10CC" w:rsidRDefault="008B10CC"/>
    <w:p w14:paraId="4A55C35E" w14:textId="77777777" w:rsidR="008B10CC" w:rsidRDefault="008B10CC"/>
    <w:p w14:paraId="1F35A469" w14:textId="77777777" w:rsidR="008B10CC" w:rsidRDefault="008B10CC"/>
    <w:p w14:paraId="281E4EA7" w14:textId="77777777" w:rsidR="008B10CC" w:rsidRDefault="008B10CC"/>
    <w:p w14:paraId="284A6D7D" w14:textId="2F58D8E5" w:rsidR="008B10CC" w:rsidRPr="00DA0FB1" w:rsidRDefault="008B10CC">
      <w:pPr>
        <w:rPr>
          <w:b/>
          <w:bCs/>
        </w:rPr>
      </w:pPr>
      <w:r w:rsidRPr="00DA0FB1">
        <w:rPr>
          <w:b/>
          <w:bCs/>
        </w:rPr>
        <w:lastRenderedPageBreak/>
        <w:t>Questions for Understanding</w:t>
      </w:r>
    </w:p>
    <w:p w14:paraId="63FDC76B" w14:textId="77777777" w:rsidR="008B10CC" w:rsidRDefault="008B10CC"/>
    <w:p w14:paraId="17B455E4" w14:textId="30F95823" w:rsidR="008B10CC" w:rsidRDefault="008B10CC">
      <w:r>
        <w:t>1. A camera with a value of $20,000 has a life expectancy of 20 years. Its salvage value will be $4,000. What % of the depreciable base will be lost each year</w:t>
      </w:r>
      <w:r w:rsidR="00DA0FB1">
        <w:t xml:space="preserve"> under the straight-line method</w:t>
      </w:r>
      <w:r>
        <w:t>?</w:t>
      </w:r>
      <w:r w:rsidR="00152DFB">
        <w:t xml:space="preserve"> [ Convert from fraction to % ]</w:t>
      </w:r>
    </w:p>
    <w:p w14:paraId="7548C677" w14:textId="77777777" w:rsidR="008B10CC" w:rsidRDefault="008B10CC"/>
    <w:p w14:paraId="105AAC71" w14:textId="77777777" w:rsidR="008B10CC" w:rsidRDefault="008B10CC"/>
    <w:p w14:paraId="5A8CA98A" w14:textId="77777777" w:rsidR="008B10CC" w:rsidRDefault="008B10CC"/>
    <w:p w14:paraId="7D4028D8" w14:textId="77777777" w:rsidR="008B10CC" w:rsidRDefault="008B10CC"/>
    <w:p w14:paraId="76745A58" w14:textId="4B3BD8C8" w:rsidR="008B10CC" w:rsidRDefault="008B10CC">
      <w:r>
        <w:t xml:space="preserve">2. A photocopier has a value of $6,000 and a life of </w:t>
      </w:r>
      <w:r w:rsidR="00DA0FB1">
        <w:t>10</w:t>
      </w:r>
      <w:r>
        <w:t xml:space="preserve"> years. What is the percentage depreciation </w:t>
      </w:r>
      <w:r w:rsidR="00C25402">
        <w:t xml:space="preserve">of the book value </w:t>
      </w:r>
      <w:r>
        <w:t>each year using the double declining method?</w:t>
      </w:r>
    </w:p>
    <w:p w14:paraId="6999E617" w14:textId="77777777" w:rsidR="008B10CC" w:rsidRDefault="008B10CC"/>
    <w:p w14:paraId="0101FE47" w14:textId="77777777" w:rsidR="008B10CC" w:rsidRDefault="008B10CC"/>
    <w:p w14:paraId="2B64B657" w14:textId="77777777" w:rsidR="008B10CC" w:rsidRDefault="008B10CC"/>
    <w:p w14:paraId="295158DF" w14:textId="77777777" w:rsidR="00DA0FB1" w:rsidRDefault="00DA0FB1"/>
    <w:p w14:paraId="7FDC58C6" w14:textId="77777777" w:rsidR="008B10CC" w:rsidRDefault="008B10CC"/>
    <w:p w14:paraId="09163276" w14:textId="3B47226B" w:rsidR="008B10CC" w:rsidRDefault="008B10CC">
      <w:r>
        <w:t xml:space="preserve">3. </w:t>
      </w:r>
      <w:r w:rsidR="00DA0FB1">
        <w:t>A printer worth $30,000 has a life expectancy of 15 years. It depreciates using the sum-of-digits method. What is the book value at year 3?</w:t>
      </w:r>
    </w:p>
    <w:p w14:paraId="52E8DEE9" w14:textId="77777777" w:rsidR="00152DFB" w:rsidRDefault="00152DFB"/>
    <w:p w14:paraId="3B928E98" w14:textId="77777777" w:rsidR="00152DFB" w:rsidRDefault="00152DFB"/>
    <w:p w14:paraId="2D7778FB" w14:textId="77777777" w:rsidR="00152DFB" w:rsidRDefault="00152DFB"/>
    <w:p w14:paraId="68F67067" w14:textId="77777777" w:rsidR="00152DFB" w:rsidRDefault="00152DFB"/>
    <w:p w14:paraId="13D6AE54" w14:textId="77777777" w:rsidR="00152DFB" w:rsidRDefault="00152DFB"/>
    <w:p w14:paraId="1AE6464C" w14:textId="77777777" w:rsidR="00152DFB" w:rsidRDefault="00152DFB"/>
    <w:p w14:paraId="63C06B9D" w14:textId="153C4E23" w:rsidR="00152DFB" w:rsidRDefault="00FD4283">
      <w:r>
        <w:t>Some key takeaways about the different depreciation methods:</w:t>
      </w:r>
    </w:p>
    <w:p w14:paraId="7FBEE299" w14:textId="55C1E6B1" w:rsidR="00FD4283" w:rsidRDefault="00FD4283">
      <w:r>
        <w:t>1) Use the straight-line method for buildings and furniture as its use is fairly constant. (You don’t use a chair less just because it may be slightly worn)</w:t>
      </w:r>
    </w:p>
    <w:p w14:paraId="676F23F4" w14:textId="6D5BD13B" w:rsidR="00FD4283" w:rsidRDefault="00FD4283">
      <w:r>
        <w:t>2) A method we did not discuss was “units of production” which should be used for mileage on a car – or situations where use is measured by output, not in time spent in operation.</w:t>
      </w:r>
    </w:p>
    <w:p w14:paraId="439687A7" w14:textId="566D334E" w:rsidR="00FD4283" w:rsidRDefault="00FD4283">
      <w:r>
        <w:t>3) Declining or double declining methods are used</w:t>
      </w:r>
      <w:r w:rsidR="00DA4565">
        <w:t xml:space="preserve"> (typically) when productivity declines and maintenance becomes more frequent resulting in more down time.</w:t>
      </w:r>
    </w:p>
    <w:p w14:paraId="7D43FB56" w14:textId="47158724" w:rsidR="00DA4565" w:rsidRDefault="00DA4565">
      <w:r>
        <w:t>4) Sum-of-digits method is basically a hybrid between the declining method and straight-line but is used when the salvage value is known.</w:t>
      </w:r>
    </w:p>
    <w:p w14:paraId="701D3AB8" w14:textId="77777777" w:rsidR="005005C4" w:rsidRDefault="005005C4"/>
    <w:p w14:paraId="32288485" w14:textId="00F31F50" w:rsidR="005005C4" w:rsidRDefault="005005C4">
      <w:r>
        <w:t xml:space="preserve">Tony Bell has a series “Financial Accounting” of YouTube videos on this topic. Look for FA 35 through FA 38 on the Financial Accounting playlist. For anyone interested in learning or taking a Financial Accounting course, there is a workbook with exercises and related videos for anyone that joins the channel. See </w:t>
      </w:r>
      <w:hyperlink r:id="rId8" w:history="1">
        <w:r w:rsidRPr="00B40C59">
          <w:rPr>
            <w:rStyle w:val="Hyperlink"/>
          </w:rPr>
          <w:t>https://www.accountingworkbook.com/</w:t>
        </w:r>
      </w:hyperlink>
    </w:p>
    <w:p w14:paraId="00674AA9" w14:textId="7969AE23" w:rsidR="0013189B" w:rsidRDefault="0013189B">
      <w:r>
        <w:t xml:space="preserve">Module 8 is on Capital Asset Depreciation. The worked-through example is problem number 8-2A and there are 3 parts. </w:t>
      </w:r>
      <w:hyperlink r:id="rId9" w:history="1">
        <w:r w:rsidRPr="00B40C59">
          <w:rPr>
            <w:rStyle w:val="Hyperlink"/>
          </w:rPr>
          <w:t>https://www.accountingworkbook.com/fa-mod-8-videos.html</w:t>
        </w:r>
      </w:hyperlink>
    </w:p>
    <w:p w14:paraId="7D0D0474" w14:textId="77777777" w:rsidR="0013189B" w:rsidRDefault="0013189B"/>
    <w:p w14:paraId="5C54B248" w14:textId="1962C42F" w:rsidR="005005C4" w:rsidRPr="009A2B5D" w:rsidRDefault="005005C4">
      <w:r>
        <w:t xml:space="preserve"> </w:t>
      </w:r>
    </w:p>
    <w:sectPr w:rsidR="005005C4" w:rsidRPr="009A2B5D" w:rsidSect="002377E5">
      <w:pgSz w:w="12240" w:h="15840"/>
      <w:pgMar w:top="1008" w:right="216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43D7" w14:textId="77777777" w:rsidR="002377E5" w:rsidRDefault="002377E5" w:rsidP="00EC445F">
      <w:r>
        <w:separator/>
      </w:r>
    </w:p>
  </w:endnote>
  <w:endnote w:type="continuationSeparator" w:id="0">
    <w:p w14:paraId="787BED1A" w14:textId="77777777" w:rsidR="002377E5" w:rsidRDefault="002377E5" w:rsidP="00EC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3BB2" w14:textId="77777777" w:rsidR="002377E5" w:rsidRDefault="002377E5" w:rsidP="00EC445F">
      <w:r>
        <w:separator/>
      </w:r>
    </w:p>
  </w:footnote>
  <w:footnote w:type="continuationSeparator" w:id="0">
    <w:p w14:paraId="4DAA85E9" w14:textId="77777777" w:rsidR="002377E5" w:rsidRDefault="002377E5" w:rsidP="00EC445F">
      <w:r>
        <w:continuationSeparator/>
      </w:r>
    </w:p>
  </w:footnote>
  <w:footnote w:id="1">
    <w:p w14:paraId="7E93EC1B" w14:textId="57315ED5" w:rsidR="00EC445F" w:rsidRDefault="00EC445F">
      <w:pPr>
        <w:pStyle w:val="FootnoteText"/>
      </w:pPr>
      <w:r>
        <w:rPr>
          <w:rStyle w:val="FootnoteReference"/>
        </w:rPr>
        <w:footnoteRef/>
      </w:r>
      <w:r>
        <w:t xml:space="preserve"> </w:t>
      </w:r>
      <w:proofErr w:type="spellStart"/>
      <w:r>
        <w:t>Tuovila</w:t>
      </w:r>
      <w:proofErr w:type="spellEnd"/>
      <w:r>
        <w:t xml:space="preserve">, Alicia. “Depreciation: Definition and Types, With Calculation Examples.” </w:t>
      </w:r>
      <w:r w:rsidRPr="00AB0AD5">
        <w:rPr>
          <w:i/>
          <w:iCs/>
        </w:rPr>
        <w:t>Corporate Finance: Accounting</w:t>
      </w:r>
      <w:r>
        <w:t>, Investopedia</w:t>
      </w:r>
      <w:r w:rsidR="00AB0AD5">
        <w:t xml:space="preserve">, 31 October 2023, </w:t>
      </w:r>
      <w:hyperlink r:id="rId1" w:history="1">
        <w:r w:rsidR="00AB0AD5" w:rsidRPr="00AB0AD5">
          <w:rPr>
            <w:rStyle w:val="Hyperlink"/>
          </w:rPr>
          <w:t>https://www.investopedia.com/terms/d/depreciation.asp</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FB"/>
    <w:rsid w:val="00087896"/>
    <w:rsid w:val="0013189B"/>
    <w:rsid w:val="00152DFB"/>
    <w:rsid w:val="001643E8"/>
    <w:rsid w:val="001710EC"/>
    <w:rsid w:val="001753D8"/>
    <w:rsid w:val="002377E5"/>
    <w:rsid w:val="00494C1F"/>
    <w:rsid w:val="00497E79"/>
    <w:rsid w:val="005005C4"/>
    <w:rsid w:val="005838B6"/>
    <w:rsid w:val="005A56A2"/>
    <w:rsid w:val="00656C5F"/>
    <w:rsid w:val="007E5927"/>
    <w:rsid w:val="007F7E6D"/>
    <w:rsid w:val="008451B5"/>
    <w:rsid w:val="008B10CC"/>
    <w:rsid w:val="009143FB"/>
    <w:rsid w:val="009A2B5D"/>
    <w:rsid w:val="00AA787E"/>
    <w:rsid w:val="00AB0AD5"/>
    <w:rsid w:val="00BA72A0"/>
    <w:rsid w:val="00C25402"/>
    <w:rsid w:val="00C37A18"/>
    <w:rsid w:val="00CA7025"/>
    <w:rsid w:val="00CD0FDC"/>
    <w:rsid w:val="00D11423"/>
    <w:rsid w:val="00DA0FB1"/>
    <w:rsid w:val="00DA4565"/>
    <w:rsid w:val="00E30C03"/>
    <w:rsid w:val="00EC445F"/>
    <w:rsid w:val="00F109C3"/>
    <w:rsid w:val="00F30030"/>
    <w:rsid w:val="00F57C26"/>
    <w:rsid w:val="00FD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DCCC2"/>
  <w15:chartTrackingRefBased/>
  <w15:docId w15:val="{7BD9F41D-0199-5749-800A-9410CC99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lassic"/>
    <w:qFormat/>
    <w:rsid w:val="00E30C03"/>
    <w:pPr>
      <w:spacing w:after="0" w:line="240" w:lineRule="auto"/>
    </w:pPr>
    <w:rPr>
      <w:rFonts w:ascii="Calibri" w:hAnsi="Calibri"/>
    </w:rPr>
  </w:style>
  <w:style w:type="paragraph" w:styleId="Heading1">
    <w:name w:val="heading 1"/>
    <w:basedOn w:val="Normal"/>
    <w:next w:val="Normal"/>
    <w:link w:val="Heading1Char"/>
    <w:uiPriority w:val="9"/>
    <w:qFormat/>
    <w:rsid w:val="0091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3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3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43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43F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43F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43F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43F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3FB"/>
    <w:rPr>
      <w:rFonts w:eastAsiaTheme="majorEastAsia" w:cstheme="majorBidi"/>
      <w:color w:val="272727" w:themeColor="text1" w:themeTint="D8"/>
    </w:rPr>
  </w:style>
  <w:style w:type="paragraph" w:styleId="Title">
    <w:name w:val="Title"/>
    <w:basedOn w:val="Normal"/>
    <w:next w:val="Normal"/>
    <w:link w:val="TitleChar"/>
    <w:uiPriority w:val="10"/>
    <w:qFormat/>
    <w:rsid w:val="009143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3F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3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3FB"/>
    <w:rPr>
      <w:rFonts w:ascii="Calibri" w:hAnsi="Calibri"/>
      <w:i/>
      <w:iCs/>
      <w:color w:val="404040" w:themeColor="text1" w:themeTint="BF"/>
    </w:rPr>
  </w:style>
  <w:style w:type="paragraph" w:styleId="ListParagraph">
    <w:name w:val="List Paragraph"/>
    <w:basedOn w:val="Normal"/>
    <w:uiPriority w:val="34"/>
    <w:qFormat/>
    <w:rsid w:val="009143FB"/>
    <w:pPr>
      <w:ind w:left="720"/>
      <w:contextualSpacing/>
    </w:pPr>
  </w:style>
  <w:style w:type="character" w:styleId="IntenseEmphasis">
    <w:name w:val="Intense Emphasis"/>
    <w:basedOn w:val="DefaultParagraphFont"/>
    <w:uiPriority w:val="21"/>
    <w:qFormat/>
    <w:rsid w:val="009143FB"/>
    <w:rPr>
      <w:i/>
      <w:iCs/>
      <w:color w:val="0F4761" w:themeColor="accent1" w:themeShade="BF"/>
    </w:rPr>
  </w:style>
  <w:style w:type="paragraph" w:styleId="IntenseQuote">
    <w:name w:val="Intense Quote"/>
    <w:basedOn w:val="Normal"/>
    <w:next w:val="Normal"/>
    <w:link w:val="IntenseQuoteChar"/>
    <w:uiPriority w:val="30"/>
    <w:qFormat/>
    <w:rsid w:val="0091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3FB"/>
    <w:rPr>
      <w:rFonts w:ascii="Calibri" w:hAnsi="Calibri"/>
      <w:i/>
      <w:iCs/>
      <w:color w:val="0F4761" w:themeColor="accent1" w:themeShade="BF"/>
    </w:rPr>
  </w:style>
  <w:style w:type="character" w:styleId="IntenseReference">
    <w:name w:val="Intense Reference"/>
    <w:basedOn w:val="DefaultParagraphFont"/>
    <w:uiPriority w:val="32"/>
    <w:qFormat/>
    <w:rsid w:val="009143FB"/>
    <w:rPr>
      <w:b/>
      <w:bCs/>
      <w:smallCaps/>
      <w:color w:val="0F4761" w:themeColor="accent1" w:themeShade="BF"/>
      <w:spacing w:val="5"/>
    </w:rPr>
  </w:style>
  <w:style w:type="paragraph" w:styleId="FootnoteText">
    <w:name w:val="footnote text"/>
    <w:basedOn w:val="Normal"/>
    <w:link w:val="FootnoteTextChar"/>
    <w:uiPriority w:val="99"/>
    <w:semiHidden/>
    <w:unhideWhenUsed/>
    <w:rsid w:val="00EC445F"/>
    <w:rPr>
      <w:sz w:val="20"/>
      <w:szCs w:val="20"/>
    </w:rPr>
  </w:style>
  <w:style w:type="character" w:customStyle="1" w:styleId="FootnoteTextChar">
    <w:name w:val="Footnote Text Char"/>
    <w:basedOn w:val="DefaultParagraphFont"/>
    <w:link w:val="FootnoteText"/>
    <w:uiPriority w:val="99"/>
    <w:semiHidden/>
    <w:rsid w:val="00EC445F"/>
    <w:rPr>
      <w:rFonts w:ascii="Calibri" w:hAnsi="Calibri"/>
      <w:sz w:val="20"/>
      <w:szCs w:val="20"/>
    </w:rPr>
  </w:style>
  <w:style w:type="character" w:styleId="FootnoteReference">
    <w:name w:val="footnote reference"/>
    <w:basedOn w:val="DefaultParagraphFont"/>
    <w:uiPriority w:val="99"/>
    <w:semiHidden/>
    <w:unhideWhenUsed/>
    <w:rsid w:val="00EC445F"/>
    <w:rPr>
      <w:vertAlign w:val="superscript"/>
    </w:rPr>
  </w:style>
  <w:style w:type="character" w:styleId="Hyperlink">
    <w:name w:val="Hyperlink"/>
    <w:basedOn w:val="DefaultParagraphFont"/>
    <w:uiPriority w:val="99"/>
    <w:unhideWhenUsed/>
    <w:rsid w:val="00AB0AD5"/>
    <w:rPr>
      <w:color w:val="467886" w:themeColor="hyperlink"/>
      <w:u w:val="single"/>
    </w:rPr>
  </w:style>
  <w:style w:type="character" w:styleId="UnresolvedMention">
    <w:name w:val="Unresolved Mention"/>
    <w:basedOn w:val="DefaultParagraphFont"/>
    <w:uiPriority w:val="99"/>
    <w:semiHidden/>
    <w:unhideWhenUsed/>
    <w:rsid w:val="00AB0AD5"/>
    <w:rPr>
      <w:color w:val="605E5C"/>
      <w:shd w:val="clear" w:color="auto" w:fill="E1DFDD"/>
    </w:rPr>
  </w:style>
  <w:style w:type="character" w:styleId="PlaceholderText">
    <w:name w:val="Placeholder Text"/>
    <w:basedOn w:val="DefaultParagraphFont"/>
    <w:uiPriority w:val="99"/>
    <w:semiHidden/>
    <w:rsid w:val="00C37A18"/>
    <w:rPr>
      <w:color w:val="666666"/>
    </w:rPr>
  </w:style>
  <w:style w:type="character" w:styleId="FollowedHyperlink">
    <w:name w:val="FollowedHyperlink"/>
    <w:basedOn w:val="DefaultParagraphFont"/>
    <w:uiPriority w:val="99"/>
    <w:semiHidden/>
    <w:unhideWhenUsed/>
    <w:rsid w:val="007F7E6D"/>
    <w:rPr>
      <w:color w:val="96607D" w:themeColor="followedHyperlink"/>
      <w:u w:val="single"/>
    </w:rPr>
  </w:style>
  <w:style w:type="table" w:styleId="TableGrid">
    <w:name w:val="Table Grid"/>
    <w:basedOn w:val="TableNormal"/>
    <w:uiPriority w:val="39"/>
    <w:rsid w:val="007F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73353">
      <w:bodyDiv w:val="1"/>
      <w:marLeft w:val="0"/>
      <w:marRight w:val="0"/>
      <w:marTop w:val="0"/>
      <w:marBottom w:val="0"/>
      <w:divBdr>
        <w:top w:val="none" w:sz="0" w:space="0" w:color="auto"/>
        <w:left w:val="none" w:sz="0" w:space="0" w:color="auto"/>
        <w:bottom w:val="none" w:sz="0" w:space="0" w:color="auto"/>
        <w:right w:val="none" w:sz="0" w:space="0" w:color="auto"/>
      </w:divBdr>
    </w:div>
    <w:div w:id="16883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workbook.com/" TargetMode="External"/><Relationship Id="rId3" Type="http://schemas.openxmlformats.org/officeDocument/2006/relationships/settings" Target="settings.xml"/><Relationship Id="rId7" Type="http://schemas.openxmlformats.org/officeDocument/2006/relationships/hyperlink" Target="https://www.investopedia.com/terms/d/depreciation.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countingworkbook.com/fa-mod-8-video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vestopedia.com/terms/d/depreci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5FBE7-B910-2D4F-93D7-D9621F30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Bob Rudis</cp:lastModifiedBy>
  <cp:revision>4</cp:revision>
  <cp:lastPrinted>2024-04-15T06:28:00Z</cp:lastPrinted>
  <dcterms:created xsi:type="dcterms:W3CDTF">2024-04-15T06:28:00Z</dcterms:created>
  <dcterms:modified xsi:type="dcterms:W3CDTF">2024-04-30T15:17:00Z</dcterms:modified>
</cp:coreProperties>
</file>