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044A" w14:textId="77777777" w:rsidR="008F765D" w:rsidRPr="008F765D" w:rsidRDefault="008F765D" w:rsidP="008F765D">
      <w:pPr>
        <w:rPr>
          <w:b/>
          <w:bCs/>
        </w:rPr>
      </w:pPr>
      <w:r w:rsidRPr="008F765D">
        <w:rPr>
          <w:b/>
          <w:bCs/>
        </w:rPr>
        <w:t>Critical FAO pH Thresholds and Implications</w:t>
      </w:r>
    </w:p>
    <w:p w14:paraId="198F5823" w14:textId="77777777" w:rsidR="008F765D" w:rsidRPr="008F765D" w:rsidRDefault="008F765D" w:rsidP="008F765D">
      <w:r w:rsidRPr="008F765D">
        <w:t>The FAO outlines distinct biological boundaries and risks when water quality shifts away from this ideal window:</w:t>
      </w:r>
    </w:p>
    <w:p w14:paraId="2B34F49B" w14:textId="1A635379" w:rsidR="008F765D" w:rsidRPr="008F765D" w:rsidRDefault="008F765D" w:rsidP="008F765D">
      <w:pPr>
        <w:numPr>
          <w:ilvl w:val="0"/>
          <w:numId w:val="1"/>
        </w:numPr>
      </w:pPr>
      <w:r w:rsidRPr="008F765D">
        <w:rPr>
          <w:b/>
          <w:bCs/>
        </w:rPr>
        <w:t>The Safe Production Zone (pH 6.5 – 8.5):</w:t>
      </w:r>
      <w:r w:rsidRPr="008F765D">
        <w:t xml:space="preserve"> This standard range supports maximum growth rates, efficient feed conversion, and healthy natural food organism propagation (like phytoplankton).</w:t>
      </w:r>
    </w:p>
    <w:p w14:paraId="2998B97F" w14:textId="7E1040EB" w:rsidR="008F765D" w:rsidRPr="008F765D" w:rsidRDefault="008F765D" w:rsidP="008F765D">
      <w:pPr>
        <w:numPr>
          <w:ilvl w:val="0"/>
          <w:numId w:val="1"/>
        </w:numPr>
      </w:pPr>
      <w:r w:rsidRPr="008F765D">
        <w:rPr>
          <w:b/>
          <w:bCs/>
        </w:rPr>
        <w:t>The Reproduction Danger Zone (pH &lt; 5.5 or &gt; 9.0):</w:t>
      </w:r>
      <w:r w:rsidRPr="008F765D">
        <w:t xml:space="preserve"> The </w:t>
      </w:r>
      <w:hyperlink r:id="rId5" w:tgtFrame="_blank" w:history="1">
        <w:r w:rsidRPr="008F765D">
          <w:rPr>
            <w:rStyle w:val="Hyperlink"/>
          </w:rPr>
          <w:t>FAO Pond Water Quality Guide</w:t>
        </w:r>
      </w:hyperlink>
      <w:r w:rsidRPr="008F765D">
        <w:t xml:space="preserve"> states that fish reproduction is severely affected below 5.5, while a pH above 9.0 becomes highly detrimental to sensitive fish eggs and juveniles.</w:t>
      </w:r>
    </w:p>
    <w:p w14:paraId="63111926" w14:textId="3022EACE" w:rsidR="008F765D" w:rsidRPr="008F765D" w:rsidRDefault="008F765D" w:rsidP="008F765D">
      <w:pPr>
        <w:numPr>
          <w:ilvl w:val="0"/>
          <w:numId w:val="1"/>
        </w:numPr>
      </w:pPr>
      <w:r w:rsidRPr="008F765D">
        <w:rPr>
          <w:b/>
          <w:bCs/>
        </w:rPr>
        <w:t>Lethal Limits (pH &lt; 4.5 or ≥ 11.0):</w:t>
      </w:r>
      <w:r w:rsidRPr="008F765D">
        <w:t xml:space="preserve"> Most cultured tilapia species cannot survive long-term and will die if water parameters cross these extreme alkaline or acidic limits. For instance, highly acid-tolerant species like </w:t>
      </w:r>
      <w:r w:rsidRPr="008F765D">
        <w:rPr>
          <w:i/>
          <w:iCs/>
        </w:rPr>
        <w:t>Tilapia guineensis</w:t>
      </w:r>
      <w:r w:rsidRPr="008F765D">
        <w:t xml:space="preserve"> can survive above 3.5 but die within hours at a pH of 3.2. </w:t>
      </w:r>
    </w:p>
    <w:p w14:paraId="21FEA2BE" w14:textId="77777777" w:rsidR="008F765D" w:rsidRPr="008F765D" w:rsidRDefault="008F765D" w:rsidP="008F765D">
      <w:pPr>
        <w:rPr>
          <w:b/>
          <w:bCs/>
        </w:rPr>
      </w:pPr>
      <w:r w:rsidRPr="008F765D">
        <w:rPr>
          <w:b/>
          <w:bCs/>
        </w:rPr>
        <w:t>Dynamic Water Chemistry Rules (FAO Framework)</w:t>
      </w:r>
    </w:p>
    <w:p w14:paraId="40B627FE" w14:textId="77777777" w:rsidR="008F765D" w:rsidRPr="008F765D" w:rsidRDefault="008F765D" w:rsidP="008F765D">
      <w:r w:rsidRPr="008F765D">
        <w:t>The FAO emphasizes that pH must not be evaluated in isolation. It directly controls other water safety factors:</w:t>
      </w:r>
    </w:p>
    <w:p w14:paraId="2729145D" w14:textId="1FB24E74" w:rsidR="008F765D" w:rsidRPr="008F765D" w:rsidRDefault="008F765D" w:rsidP="008F765D">
      <w:pPr>
        <w:numPr>
          <w:ilvl w:val="0"/>
          <w:numId w:val="2"/>
        </w:numPr>
      </w:pPr>
      <w:r w:rsidRPr="008F765D">
        <w:rPr>
          <w:b/>
          <w:bCs/>
        </w:rPr>
        <w:t>Ammonia Interdependence:</w:t>
      </w:r>
      <w:r w:rsidRPr="008F765D">
        <w:t xml:space="preserve"> As pH rises within a system, non-ionized ammonia (NH₃) becomes exponentially more toxic. The FAO notes that a higher pH shifts the chemical balance, making </w:t>
      </w:r>
      <w:proofErr w:type="gramStart"/>
      <w:r w:rsidRPr="008F765D">
        <w:t>a standard</w:t>
      </w:r>
      <w:proofErr w:type="gramEnd"/>
      <w:r w:rsidRPr="008F765D">
        <w:t xml:space="preserve"> ammonia reading five times more hazardous at higher pH levels compared to lower ones. </w:t>
      </w:r>
    </w:p>
    <w:p w14:paraId="6A0F6D2A" w14:textId="208EF00B" w:rsidR="008F765D" w:rsidRDefault="008F765D" w:rsidP="008F765D">
      <w:pPr>
        <w:numPr>
          <w:ilvl w:val="0"/>
          <w:numId w:val="2"/>
        </w:numPr>
      </w:pPr>
      <w:r w:rsidRPr="008F765D">
        <w:rPr>
          <w:b/>
          <w:bCs/>
        </w:rPr>
        <w:t>Diurnal Fluctuations:</w:t>
      </w:r>
      <w:r w:rsidRPr="008F765D">
        <w:t xml:space="preserve"> In pond systems, pH naturally drops at night due to respiration and peaks late in the afternoon due to phytoplankton photosynthesis. The FAO recommends tracking these shifts precisely to ensure the lowest daily drop (at sunrise) stays safely above 6.5.</w:t>
      </w:r>
    </w:p>
    <w:p w14:paraId="397847C1" w14:textId="77777777" w:rsidR="008F765D" w:rsidRPr="008F765D" w:rsidRDefault="008F765D" w:rsidP="008F765D"/>
    <w:p w14:paraId="39FF3F84" w14:textId="460E0012" w:rsidR="008F765D" w:rsidRPr="008F765D" w:rsidRDefault="008F765D" w:rsidP="008F765D">
      <w:r w:rsidRPr="008F765D">
        <w:t xml:space="preserve">a pH of </w:t>
      </w:r>
      <w:r w:rsidRPr="008F765D">
        <w:rPr>
          <w:b/>
          <w:bCs/>
        </w:rPr>
        <w:t xml:space="preserve">7.0 is </w:t>
      </w:r>
      <w:proofErr w:type="gramStart"/>
      <w:r w:rsidRPr="008F765D">
        <w:rPr>
          <w:b/>
          <w:bCs/>
        </w:rPr>
        <w:t>actually perfectly</w:t>
      </w:r>
      <w:proofErr w:type="gramEnd"/>
      <w:r w:rsidRPr="008F765D">
        <w:rPr>
          <w:b/>
          <w:bCs/>
        </w:rPr>
        <w:t xml:space="preserve"> neutral</w:t>
      </w:r>
      <w:r w:rsidRPr="008F765D">
        <w:t xml:space="preserve"> and highly safe for tilapia</w:t>
      </w:r>
      <w:r w:rsidR="003F48B7">
        <w:t>:</w:t>
      </w:r>
    </w:p>
    <w:p w14:paraId="12975350" w14:textId="584FA7E6" w:rsidR="008F765D" w:rsidRPr="008F765D" w:rsidRDefault="008F765D" w:rsidP="008F765D">
      <w:pPr>
        <w:numPr>
          <w:ilvl w:val="0"/>
          <w:numId w:val="4"/>
        </w:numPr>
      </w:pPr>
      <w:r w:rsidRPr="008F765D">
        <w:rPr>
          <w:b/>
          <w:bCs/>
        </w:rPr>
        <w:t>Blood Chemistry Balance:</w:t>
      </w:r>
      <w:r w:rsidRPr="008F765D">
        <w:t xml:space="preserve"> Tilapia blood naturally maintains an internal pH of roughly 7.4. Keeping the surrounding water near 7.0 minimizes the osmotic stress required for the fish to regulate their internal acid-base levels. </w:t>
      </w:r>
    </w:p>
    <w:p w14:paraId="5263EE04" w14:textId="02E918F2" w:rsidR="008F765D" w:rsidRPr="008F765D" w:rsidRDefault="008F765D" w:rsidP="008F765D">
      <w:pPr>
        <w:numPr>
          <w:ilvl w:val="0"/>
          <w:numId w:val="4"/>
        </w:numPr>
      </w:pPr>
      <w:r w:rsidRPr="008F765D">
        <w:rPr>
          <w:b/>
          <w:bCs/>
        </w:rPr>
        <w:t>Minimizing Ammonia Danger:</w:t>
      </w:r>
      <w:r w:rsidRPr="008F765D">
        <w:t xml:space="preserve"> Total ammonia nitrogen splits into non-toxic ammonium (NH₄</w:t>
      </w:r>
      <w:r w:rsidRPr="008F765D">
        <w:rPr>
          <w:rFonts w:ascii="Cambria Math" w:hAnsi="Cambria Math" w:cs="Cambria Math"/>
        </w:rPr>
        <w:t>⁺</w:t>
      </w:r>
      <w:r w:rsidRPr="008F765D">
        <w:t>) and highly toxic gas (NH</w:t>
      </w:r>
      <w:r w:rsidRPr="008F765D">
        <w:rPr>
          <w:rFonts w:ascii="Aptos" w:hAnsi="Aptos" w:cs="Aptos"/>
        </w:rPr>
        <w:t>₃</w:t>
      </w:r>
      <w:r w:rsidRPr="008F765D">
        <w:t>). At a neutral pH of 7.0, virtually 100% of the ammonia stays in its safe, non-toxic form (NH</w:t>
      </w:r>
      <w:r w:rsidRPr="008F765D">
        <w:rPr>
          <w:rFonts w:ascii="Aptos" w:hAnsi="Aptos" w:cs="Aptos"/>
        </w:rPr>
        <w:t>₄</w:t>
      </w:r>
      <w:r w:rsidRPr="008F765D">
        <w:rPr>
          <w:rFonts w:ascii="Cambria Math" w:hAnsi="Cambria Math" w:cs="Cambria Math"/>
        </w:rPr>
        <w:t>⁺</w:t>
      </w:r>
      <w:r w:rsidRPr="008F765D">
        <w:t>).</w:t>
      </w:r>
    </w:p>
    <w:p w14:paraId="5EAEF401" w14:textId="77777777" w:rsidR="008F765D" w:rsidRPr="008F765D" w:rsidRDefault="008F765D" w:rsidP="008F765D">
      <w:pPr>
        <w:numPr>
          <w:ilvl w:val="0"/>
          <w:numId w:val="4"/>
        </w:numPr>
      </w:pPr>
      <w:r w:rsidRPr="008F765D">
        <w:rPr>
          <w:b/>
          <w:bCs/>
        </w:rPr>
        <w:lastRenderedPageBreak/>
        <w:t>The "Sunrise Minimum" Rule:</w:t>
      </w:r>
      <w:r w:rsidRPr="008F765D">
        <w:t xml:space="preserve"> In green-water production ponds, daytime photosynthesis by algae strips carbon dioxide out of the water, causing the pH to naturally spike into the 8s by late afternoon. If your water sits at 7.0 during sunrise, it gives the system a safe baseline before this daily alkaline surge occurs</w:t>
      </w:r>
    </w:p>
    <w:p w14:paraId="5A41D3C1" w14:textId="77777777" w:rsidR="00361E02" w:rsidRDefault="00361E02"/>
    <w:sectPr w:rsidR="00361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016F"/>
    <w:multiLevelType w:val="multilevel"/>
    <w:tmpl w:val="589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827BF"/>
    <w:multiLevelType w:val="multilevel"/>
    <w:tmpl w:val="F7AC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56B07"/>
    <w:multiLevelType w:val="multilevel"/>
    <w:tmpl w:val="57F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97CB9"/>
    <w:multiLevelType w:val="multilevel"/>
    <w:tmpl w:val="2A5C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405649">
    <w:abstractNumId w:val="2"/>
  </w:num>
  <w:num w:numId="2" w16cid:durableId="1353452299">
    <w:abstractNumId w:val="3"/>
  </w:num>
  <w:num w:numId="3" w16cid:durableId="35738216">
    <w:abstractNumId w:val="1"/>
  </w:num>
  <w:num w:numId="4" w16cid:durableId="54437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5D"/>
    <w:rsid w:val="00303CE3"/>
    <w:rsid w:val="00361E02"/>
    <w:rsid w:val="003D22FB"/>
    <w:rsid w:val="003F48B7"/>
    <w:rsid w:val="004A0852"/>
    <w:rsid w:val="008658C0"/>
    <w:rsid w:val="008F765D"/>
    <w:rsid w:val="0099082F"/>
    <w:rsid w:val="00D6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D09A"/>
  <w15:chartTrackingRefBased/>
  <w15:docId w15:val="{9D540395-DA19-4BF4-BB0A-6722D3EA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65D"/>
    <w:rPr>
      <w:rFonts w:eastAsiaTheme="majorEastAsia" w:cstheme="majorBidi"/>
      <w:color w:val="272727" w:themeColor="text1" w:themeTint="D8"/>
    </w:rPr>
  </w:style>
  <w:style w:type="paragraph" w:styleId="Title">
    <w:name w:val="Title"/>
    <w:basedOn w:val="Normal"/>
    <w:next w:val="Normal"/>
    <w:link w:val="TitleChar"/>
    <w:uiPriority w:val="10"/>
    <w:qFormat/>
    <w:rsid w:val="008F7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65D"/>
    <w:pPr>
      <w:spacing w:before="160"/>
      <w:jc w:val="center"/>
    </w:pPr>
    <w:rPr>
      <w:i/>
      <w:iCs/>
      <w:color w:val="404040" w:themeColor="text1" w:themeTint="BF"/>
    </w:rPr>
  </w:style>
  <w:style w:type="character" w:customStyle="1" w:styleId="QuoteChar">
    <w:name w:val="Quote Char"/>
    <w:basedOn w:val="DefaultParagraphFont"/>
    <w:link w:val="Quote"/>
    <w:uiPriority w:val="29"/>
    <w:rsid w:val="008F765D"/>
    <w:rPr>
      <w:i/>
      <w:iCs/>
      <w:color w:val="404040" w:themeColor="text1" w:themeTint="BF"/>
    </w:rPr>
  </w:style>
  <w:style w:type="paragraph" w:styleId="ListParagraph">
    <w:name w:val="List Paragraph"/>
    <w:basedOn w:val="Normal"/>
    <w:uiPriority w:val="34"/>
    <w:qFormat/>
    <w:rsid w:val="008F765D"/>
    <w:pPr>
      <w:ind w:left="720"/>
      <w:contextualSpacing/>
    </w:pPr>
  </w:style>
  <w:style w:type="character" w:styleId="IntenseEmphasis">
    <w:name w:val="Intense Emphasis"/>
    <w:basedOn w:val="DefaultParagraphFont"/>
    <w:uiPriority w:val="21"/>
    <w:qFormat/>
    <w:rsid w:val="008F765D"/>
    <w:rPr>
      <w:i/>
      <w:iCs/>
      <w:color w:val="0F4761" w:themeColor="accent1" w:themeShade="BF"/>
    </w:rPr>
  </w:style>
  <w:style w:type="paragraph" w:styleId="IntenseQuote">
    <w:name w:val="Intense Quote"/>
    <w:basedOn w:val="Normal"/>
    <w:next w:val="Normal"/>
    <w:link w:val="IntenseQuoteChar"/>
    <w:uiPriority w:val="30"/>
    <w:qFormat/>
    <w:rsid w:val="008F7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65D"/>
    <w:rPr>
      <w:i/>
      <w:iCs/>
      <w:color w:val="0F4761" w:themeColor="accent1" w:themeShade="BF"/>
    </w:rPr>
  </w:style>
  <w:style w:type="character" w:styleId="IntenseReference">
    <w:name w:val="Intense Reference"/>
    <w:basedOn w:val="DefaultParagraphFont"/>
    <w:uiPriority w:val="32"/>
    <w:qFormat/>
    <w:rsid w:val="008F765D"/>
    <w:rPr>
      <w:b/>
      <w:bCs/>
      <w:smallCaps/>
      <w:color w:val="0F4761" w:themeColor="accent1" w:themeShade="BF"/>
      <w:spacing w:val="5"/>
    </w:rPr>
  </w:style>
  <w:style w:type="character" w:styleId="Hyperlink">
    <w:name w:val="Hyperlink"/>
    <w:basedOn w:val="DefaultParagraphFont"/>
    <w:uiPriority w:val="99"/>
    <w:unhideWhenUsed/>
    <w:rsid w:val="008F765D"/>
    <w:rPr>
      <w:color w:val="467886" w:themeColor="hyperlink"/>
      <w:u w:val="single"/>
    </w:rPr>
  </w:style>
  <w:style w:type="character" w:styleId="UnresolvedMention">
    <w:name w:val="Unresolved Mention"/>
    <w:basedOn w:val="DefaultParagraphFont"/>
    <w:uiPriority w:val="99"/>
    <w:semiHidden/>
    <w:unhideWhenUsed/>
    <w:rsid w:val="008F7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o.org/fishery/docs/CDrom/FAO_Training/FAO_Training/General/x6709e/x6709e02.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Mahmuddin, Mahirah (WorldFish)</dc:creator>
  <cp:keywords/>
  <dc:description/>
  <cp:lastModifiedBy>Mahmuddin, Mahirah (WorldFish)</cp:lastModifiedBy>
  <cp:revision>1</cp:revision>
  <dcterms:created xsi:type="dcterms:W3CDTF">2026-06-11T03:12:00Z</dcterms:created>
  <dcterms:modified xsi:type="dcterms:W3CDTF">2026-06-11T05:07:00Z</dcterms:modified>
</cp:coreProperties>
</file>