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Biosecurity Manual</w:t>
      </w:r>
    </w:p>
    <w:p>
      <w:pPr>
        <w:pStyle w:val="Subtitle"/>
        <w:jc w:val="center"/>
      </w:pPr>
      <w:r>
        <w:t>WorldFish Aquaculture Research Center (ARC), Penang, Malaysia</w:t>
      </w:r>
    </w:p>
    <w:p>
      <w:pPr>
        <w:pStyle w:val="Subtitle"/>
        <w:jc w:val="center"/>
      </w:pPr>
      <w:r>
        <w:t>GIFT Genetic Improvement and Dissemination Program</w:t>
      </w:r>
    </w:p>
    <w:p/>
    <w:p>
      <w:pPr>
        <w:jc w:val="center"/>
      </w:pPr>
      <w:r>
        <w:rPr>
          <w:rFonts w:ascii="Aptos" w:hAnsi="Aptos"/>
          <w:b w:val="0"/>
          <w:i/>
          <w:color w:val="4B5563"/>
          <w:sz w:val="22"/>
        </w:rPr>
        <w:t>Rewritten and consolidated from the ARC draft manual, aligned to FAO, WOAH, and WorldFish biosecurity guidance.</w:t>
      </w:r>
    </w:p>
    <w:p/>
    <w:p/>
    <w:p>
      <w:pPr>
        <w:jc w:val="center"/>
      </w:pPr>
      <w:r>
        <w:rPr>
          <w:rFonts w:ascii="Aptos" w:hAnsi="Aptos"/>
          <w:b w:val="0"/>
          <w:i w:val="0"/>
          <w:color w:val="16375C"/>
          <w:sz w:val="22"/>
        </w:rPr>
        <w:t>Prepared for internal operational use</w:t>
      </w:r>
    </w:p>
    <w:p>
      <w:r>
        <w:br w:type="page"/>
      </w:r>
    </w:p>
    <w:p>
      <w:pPr>
        <w:pStyle w:val="Heading1"/>
      </w:pPr>
      <w:r>
        <w:t>Table of contents</w:t>
      </w:r>
    </w:p>
    <w:p>
      <w:pPr/>
      <w:r>
        <w:t>1. Introduction</w:t>
      </w:r>
    </w:p>
    <w:p>
      <w:pPr/>
      <w:r>
        <w:t>2. Terms and definitions</w:t>
      </w:r>
    </w:p>
    <w:p>
      <w:pPr/>
      <w:r>
        <w:t>3. The GIFT Genetic Improvement and Dissemination Program</w:t>
      </w:r>
    </w:p>
    <w:p>
      <w:pPr/>
      <w:r>
        <w:t>4. Diseases of concern</w:t>
      </w:r>
    </w:p>
    <w:p>
      <w:pPr/>
      <w:r>
        <w:t>5. Purpose and scope of this manual</w:t>
      </w:r>
    </w:p>
    <w:p>
      <w:pPr/>
      <w:r>
        <w:t>6. Governance, review and responsibilities</w:t>
      </w:r>
    </w:p>
    <w:p>
      <w:pPr/>
      <w:r>
        <w:t>7. Key contacts</w:t>
      </w:r>
    </w:p>
    <w:p>
      <w:pPr/>
      <w:r>
        <w:t>8. Location of ARC</w:t>
      </w:r>
    </w:p>
    <w:p>
      <w:pPr/>
      <w:r>
        <w:t>9. GIFT breeding program workflow</w:t>
      </w:r>
    </w:p>
    <w:p>
      <w:pPr/>
      <w:r>
        <w:t>10. Biosecurity principles</w:t>
      </w:r>
    </w:p>
    <w:p>
      <w:pPr/>
      <w:r>
        <w:t>11. Biosecurity measures</w:t>
      </w:r>
    </w:p>
    <w:p>
      <w:pPr>
        <w:ind w:left="454"/>
      </w:pPr>
      <w:r>
        <w:t xml:space="preserve">    11.1 Administration</w:t>
      </w:r>
    </w:p>
    <w:p>
      <w:pPr>
        <w:ind w:left="454"/>
      </w:pPr>
      <w:r>
        <w:t xml:space="preserve">    11.2 Farm design and facility structure</w:t>
      </w:r>
    </w:p>
    <w:p>
      <w:pPr>
        <w:ind w:left="454"/>
      </w:pPr>
      <w:r>
        <w:t xml:space="preserve">    11.3 Managing pathways of disease entry and spread</w:t>
      </w:r>
    </w:p>
    <w:p>
      <w:pPr>
        <w:ind w:left="454"/>
      </w:pPr>
      <w:r>
        <w:t xml:space="preserve">    11.4 People</w:t>
      </w:r>
    </w:p>
    <w:p>
      <w:pPr>
        <w:ind w:left="454"/>
      </w:pPr>
      <w:r>
        <w:t xml:space="preserve">    11.5 Animals</w:t>
      </w:r>
    </w:p>
    <w:p>
      <w:pPr>
        <w:ind w:left="454"/>
      </w:pPr>
      <w:r>
        <w:t xml:space="preserve">    11.6 Equipment and vehicles</w:t>
      </w:r>
    </w:p>
    <w:p>
      <w:pPr>
        <w:ind w:left="454"/>
      </w:pPr>
      <w:r>
        <w:t xml:space="preserve">    11.7 Water</w:t>
      </w:r>
    </w:p>
    <w:p>
      <w:pPr>
        <w:ind w:left="454"/>
      </w:pPr>
      <w:r>
        <w:t xml:space="preserve">    11.8 Waste</w:t>
      </w:r>
    </w:p>
    <w:p>
      <w:pPr>
        <w:ind w:left="454"/>
      </w:pPr>
      <w:r>
        <w:t xml:space="preserve">    11.9 Feed</w:t>
      </w:r>
    </w:p>
    <w:p>
      <w:pPr>
        <w:ind w:left="454"/>
      </w:pPr>
      <w:r>
        <w:t xml:space="preserve">    11.10 Health monitoring and disease incident response</w:t>
      </w:r>
    </w:p>
    <w:p>
      <w:pPr>
        <w:ind w:left="454"/>
      </w:pPr>
      <w:r>
        <w:t xml:space="preserve">    11.11 Emergency response and contingency planning</w:t>
      </w:r>
    </w:p>
    <w:p>
      <w:pPr/>
      <w:r>
        <w:t>12. Biosecurity risk analysis</w:t>
      </w:r>
    </w:p>
    <w:p>
      <w:pPr>
        <w:ind w:left="454"/>
      </w:pPr>
      <w:r>
        <w:t xml:space="preserve">    12.1 Hazard identification</w:t>
      </w:r>
    </w:p>
    <w:p>
      <w:pPr>
        <w:ind w:left="454"/>
      </w:pPr>
      <w:r>
        <w:t xml:space="preserve">    12.2 Risk assessment</w:t>
      </w:r>
    </w:p>
    <w:p>
      <w:pPr>
        <w:ind w:left="454"/>
      </w:pPr>
      <w:r>
        <w:t xml:space="preserve">    12.3 Risk estimation</w:t>
      </w:r>
    </w:p>
    <w:p>
      <w:pPr>
        <w:ind w:left="454"/>
      </w:pPr>
      <w:r>
        <w:t xml:space="preserve">    12.4 Risk management</w:t>
      </w:r>
    </w:p>
    <w:p>
      <w:pPr>
        <w:ind w:left="454"/>
      </w:pPr>
      <w:r>
        <w:t xml:space="preserve">    12.5 Risk evaluation and documentation</w:t>
      </w:r>
    </w:p>
    <w:p>
      <w:pPr/>
      <w:r>
        <w:t>Appendix 1. Priority diseases and syndromes of concern for Nile tilapia at ARC</w:t>
      </w:r>
    </w:p>
    <w:p>
      <w:pPr/>
      <w:r>
        <w:t>Appendix 2. ARC biosecurity audit checklist</w:t>
      </w:r>
    </w:p>
    <w:p>
      <w:pPr/>
      <w:r>
        <w:t>Appendix 3. Risk matrix and biosecurity risk register</w:t>
      </w:r>
    </w:p>
    <w:p>
      <w:pPr/>
      <w:r>
        <w:t>References</w:t>
      </w:r>
    </w:p>
    <w:p>
      <w:r>
        <w:br w:type="page"/>
      </w:r>
    </w:p>
    <w:p>
      <w:pPr>
        <w:pStyle w:val="Heading1"/>
      </w:pPr>
      <w:r>
        <w:t>1. Introduction</w:t>
      </w:r>
    </w:p>
    <w:p>
      <w:pPr/>
      <w:r>
        <w:t>Communicable diseases remain one of the major constraints to aquaculture productivity, profitability, sustainability, and market access worldwide. Although tilapia culture was historically regarded as relatively resilient to major disease threats, the emergence and spread of important bacterial and viral pathogens, including streptococcosis, infectious spleen and kidney necrosis virus (ISKNV), Tilapia Lake Virus (TiLV), and Tilapia Parvovirus (TiPV), demonstrate that tilapia aquaculture is vulnerable to significant disease-related losses and biosecurity failures.</w:t>
      </w:r>
    </w:p>
    <w:p>
      <w:pPr/>
      <w:r>
        <w:t>Biosecurity is an integrated system of management, operational, and physical measures designed to reduce the likelihood of introduction, establishment, amplification, and spread of pathogens. Within an aquaculture establishment, biosecurity must address disease entry into the facility, spread within the facility, and release from the facility to other farms, receiving countries, or the surrounding environment.</w:t>
      </w:r>
    </w:p>
    <w:p>
      <w:pPr/>
      <w:r>
        <w:t>The WorldFish Aquaculture Research Center (ARC) at Batu Maung, Penang, serves as the breeding nucleus for the pedigree- and genomic-based Genetic Improvement and Dissemination Program (GIDP) for the Genetically Improved Farmed Tilapia (GIFT) strain of Nile tilapia (Oreochromis niloticus). Because ARC houses elite breeding stock and supports dissemination of GIFT to partner and dissemination centers in multiple countries, robust biosecurity is essential to protect fish health, maintain the integrity of the breeding program, and safeguard WorldFish’s scientific and operational reputation.</w:t>
      </w:r>
    </w:p>
    <w:p>
      <w:pPr/>
      <w:r>
        <w:t>This manual sets out the biosecurity framework for ARC. It describes the principles, responsibilities, and operational measures required to prevent disease entry into the facility, reduce disease spread within the facility, and minimize the risk of disease release from the facility. It is intended to complement internal standard operating procedures and to serve as a practical reference for daily operations, staff induction, training, internal audit, and external verification.</w:t>
      </w:r>
    </w:p>
    <w:p>
      <w:pPr>
        <w:pStyle w:val="Heading1"/>
      </w:pPr>
      <w:r>
        <w:t>2. Terms and definitions</w:t>
      </w:r>
    </w:p>
    <w:tbl>
      <w:tblPr>
        <w:tblStyle w:val="TableGrid"/>
        <w:tblW w:type="auto" w:w="0"/>
        <w:jc w:val="center"/>
        <w:tblLook w:firstColumn="1" w:firstRow="1" w:lastColumn="0" w:lastRow="0" w:noHBand="0" w:noVBand="1" w:val="04A0"/>
      </w:tblPr>
      <w:tblGrid>
        <w:gridCol w:w="2268"/>
        <w:gridCol w:w="6236"/>
      </w:tblGrid>
      <w:tr>
        <w:tc>
          <w:tcPr>
            <w:tcW w:type="dxa" w:w="4816"/>
            <w:shd w:fill="DCE6F1"/>
            <w:tcMar>
              <w:top w:w="80" w:type="dxa"/>
              <w:start w:w="100" w:type="dxa"/>
              <w:bottom w:w="80" w:type="dxa"/>
              <w:end w:w="100" w:type="dxa"/>
            </w:tcMar>
            <w:vAlign w:val="center"/>
          </w:tcPr>
          <w:p>
            <w:r>
              <w:t>Term</w:t>
            </w:r>
          </w:p>
        </w:tc>
        <w:tc>
          <w:tcPr>
            <w:tcW w:type="dxa" w:w="4816"/>
            <w:shd w:fill="DCE6F1"/>
            <w:tcMar>
              <w:top w:w="80" w:type="dxa"/>
              <w:start w:w="100" w:type="dxa"/>
              <w:bottom w:w="80" w:type="dxa"/>
              <w:end w:w="100" w:type="dxa"/>
            </w:tcMar>
            <w:vAlign w:val="center"/>
          </w:tcPr>
          <w:p>
            <w:r>
              <w:t>Definition</w:t>
            </w:r>
          </w:p>
        </w:tc>
      </w:tr>
      <w:tr>
        <w:tc>
          <w:tcPr>
            <w:tcW w:type="dxa" w:w="2268"/>
            <w:tcMar>
              <w:top w:w="80" w:type="dxa"/>
              <w:start w:w="100" w:type="dxa"/>
              <w:bottom w:w="80" w:type="dxa"/>
              <w:end w:w="100" w:type="dxa"/>
            </w:tcMar>
            <w:vAlign w:val="center"/>
          </w:tcPr>
          <w:p>
            <w:r>
              <w:t>ARC</w:t>
            </w:r>
          </w:p>
        </w:tc>
        <w:tc>
          <w:tcPr>
            <w:tcW w:type="dxa" w:w="6236"/>
            <w:tcMar>
              <w:top w:w="80" w:type="dxa"/>
              <w:start w:w="100" w:type="dxa"/>
              <w:bottom w:w="80" w:type="dxa"/>
              <w:end w:w="100" w:type="dxa"/>
            </w:tcMar>
            <w:vAlign w:val="center"/>
          </w:tcPr>
          <w:p>
            <w:r>
              <w:t>Aquaculture Research Center</w:t>
            </w:r>
          </w:p>
        </w:tc>
      </w:tr>
      <w:tr>
        <w:tc>
          <w:tcPr>
            <w:tcW w:type="dxa" w:w="2268"/>
            <w:tcMar>
              <w:top w:w="80" w:type="dxa"/>
              <w:start w:w="100" w:type="dxa"/>
              <w:bottom w:w="80" w:type="dxa"/>
              <w:end w:w="100" w:type="dxa"/>
            </w:tcMar>
            <w:vAlign w:val="center"/>
          </w:tcPr>
          <w:p>
            <w:r>
              <w:t>Biosecure zone</w:t>
            </w:r>
          </w:p>
        </w:tc>
        <w:tc>
          <w:tcPr>
            <w:tcW w:type="dxa" w:w="6236"/>
            <w:tcMar>
              <w:top w:w="80" w:type="dxa"/>
              <w:start w:w="100" w:type="dxa"/>
              <w:bottom w:w="80" w:type="dxa"/>
              <w:end w:w="100" w:type="dxa"/>
            </w:tcMar>
            <w:vAlign w:val="center"/>
          </w:tcPr>
          <w:p>
            <w:r>
              <w:t>The defined area within the WorldFish Penang campus in which GIFT breeding nucleus activities are conducted under controlled biosecurity conditions</w:t>
            </w:r>
          </w:p>
        </w:tc>
      </w:tr>
      <w:tr>
        <w:tc>
          <w:tcPr>
            <w:tcW w:type="dxa" w:w="2268"/>
            <w:tcMar>
              <w:top w:w="80" w:type="dxa"/>
              <w:start w:w="100" w:type="dxa"/>
              <w:bottom w:w="80" w:type="dxa"/>
              <w:end w:w="100" w:type="dxa"/>
            </w:tcMar>
            <w:vAlign w:val="center"/>
          </w:tcPr>
          <w:p>
            <w:r>
              <w:t>Epidemiologically separated unit</w:t>
            </w:r>
          </w:p>
        </w:tc>
        <w:tc>
          <w:tcPr>
            <w:tcW w:type="dxa" w:w="6236"/>
            <w:tcMar>
              <w:top w:w="80" w:type="dxa"/>
              <w:start w:w="100" w:type="dxa"/>
              <w:bottom w:w="80" w:type="dxa"/>
              <w:end w:w="100" w:type="dxa"/>
            </w:tcMar>
            <w:vAlign w:val="center"/>
          </w:tcPr>
          <w:p>
            <w:r>
              <w:t>A tank, room, building, or operational area managed so as to reduce the likelihood of disease transmission to or from other units</w:t>
            </w:r>
          </w:p>
        </w:tc>
      </w:tr>
      <w:tr>
        <w:tc>
          <w:tcPr>
            <w:tcW w:type="dxa" w:w="2268"/>
            <w:tcMar>
              <w:top w:w="80" w:type="dxa"/>
              <w:start w:w="100" w:type="dxa"/>
              <w:bottom w:w="80" w:type="dxa"/>
              <w:end w:w="100" w:type="dxa"/>
            </w:tcMar>
            <w:vAlign w:val="center"/>
          </w:tcPr>
          <w:p>
            <w:r>
              <w:t>EUS</w:t>
            </w:r>
          </w:p>
        </w:tc>
        <w:tc>
          <w:tcPr>
            <w:tcW w:type="dxa" w:w="6236"/>
            <w:tcMar>
              <w:top w:w="80" w:type="dxa"/>
              <w:start w:w="100" w:type="dxa"/>
              <w:bottom w:w="80" w:type="dxa"/>
              <w:end w:w="100" w:type="dxa"/>
            </w:tcMar>
            <w:vAlign w:val="center"/>
          </w:tcPr>
          <w:p>
            <w:r>
              <w:t>Epizootic Ulcerative Syndrome</w:t>
            </w:r>
          </w:p>
        </w:tc>
      </w:tr>
      <w:tr>
        <w:tc>
          <w:tcPr>
            <w:tcW w:type="dxa" w:w="2268"/>
            <w:tcMar>
              <w:top w:w="80" w:type="dxa"/>
              <w:start w:w="100" w:type="dxa"/>
              <w:bottom w:w="80" w:type="dxa"/>
              <w:end w:w="100" w:type="dxa"/>
            </w:tcMar>
            <w:vAlign w:val="center"/>
          </w:tcPr>
          <w:p>
            <w:r>
              <w:t>GIFT</w:t>
            </w:r>
          </w:p>
        </w:tc>
        <w:tc>
          <w:tcPr>
            <w:tcW w:type="dxa" w:w="6236"/>
            <w:tcMar>
              <w:top w:w="80" w:type="dxa"/>
              <w:start w:w="100" w:type="dxa"/>
              <w:bottom w:w="80" w:type="dxa"/>
              <w:end w:w="100" w:type="dxa"/>
            </w:tcMar>
            <w:vAlign w:val="center"/>
          </w:tcPr>
          <w:p>
            <w:r>
              <w:t>Genetically Improved Farmed Tilapia</w:t>
            </w:r>
          </w:p>
        </w:tc>
      </w:tr>
      <w:tr>
        <w:tc>
          <w:tcPr>
            <w:tcW w:type="dxa" w:w="2268"/>
            <w:tcMar>
              <w:top w:w="80" w:type="dxa"/>
              <w:start w:w="100" w:type="dxa"/>
              <w:bottom w:w="80" w:type="dxa"/>
              <w:end w:w="100" w:type="dxa"/>
            </w:tcMar>
            <w:vAlign w:val="center"/>
          </w:tcPr>
          <w:p>
            <w:r>
              <w:t>GIDP</w:t>
            </w:r>
          </w:p>
        </w:tc>
        <w:tc>
          <w:tcPr>
            <w:tcW w:type="dxa" w:w="6236"/>
            <w:tcMar>
              <w:top w:w="80" w:type="dxa"/>
              <w:start w:w="100" w:type="dxa"/>
              <w:bottom w:w="80" w:type="dxa"/>
              <w:end w:w="100" w:type="dxa"/>
            </w:tcMar>
            <w:vAlign w:val="center"/>
          </w:tcPr>
          <w:p>
            <w:r>
              <w:t>Genetic Improvement and Dissemination Program</w:t>
            </w:r>
          </w:p>
        </w:tc>
      </w:tr>
      <w:tr>
        <w:tc>
          <w:tcPr>
            <w:tcW w:type="dxa" w:w="2268"/>
            <w:tcMar>
              <w:top w:w="80" w:type="dxa"/>
              <w:start w:w="100" w:type="dxa"/>
              <w:bottom w:w="80" w:type="dxa"/>
              <w:end w:w="100" w:type="dxa"/>
            </w:tcMar>
            <w:vAlign w:val="center"/>
          </w:tcPr>
          <w:p>
            <w:r>
              <w:t>ISKNV</w:t>
            </w:r>
          </w:p>
        </w:tc>
        <w:tc>
          <w:tcPr>
            <w:tcW w:type="dxa" w:w="6236"/>
            <w:tcMar>
              <w:top w:w="80" w:type="dxa"/>
              <w:start w:w="100" w:type="dxa"/>
              <w:bottom w:w="80" w:type="dxa"/>
              <w:end w:w="100" w:type="dxa"/>
            </w:tcMar>
            <w:vAlign w:val="center"/>
          </w:tcPr>
          <w:p>
            <w:r>
              <w:t>Infectious spleen and kidney necrosis virus</w:t>
            </w:r>
          </w:p>
        </w:tc>
      </w:tr>
      <w:tr>
        <w:tc>
          <w:tcPr>
            <w:tcW w:type="dxa" w:w="2268"/>
            <w:tcMar>
              <w:top w:w="80" w:type="dxa"/>
              <w:start w:w="100" w:type="dxa"/>
              <w:bottom w:w="80" w:type="dxa"/>
              <w:end w:w="100" w:type="dxa"/>
            </w:tcMar>
            <w:vAlign w:val="center"/>
          </w:tcPr>
          <w:p>
            <w:r>
              <w:t>TiLV</w:t>
            </w:r>
          </w:p>
        </w:tc>
        <w:tc>
          <w:tcPr>
            <w:tcW w:type="dxa" w:w="6236"/>
            <w:tcMar>
              <w:top w:w="80" w:type="dxa"/>
              <w:start w:w="100" w:type="dxa"/>
              <w:bottom w:w="80" w:type="dxa"/>
              <w:end w:w="100" w:type="dxa"/>
            </w:tcMar>
            <w:vAlign w:val="center"/>
          </w:tcPr>
          <w:p>
            <w:r>
              <w:t>Tilapia Lake Virus</w:t>
            </w:r>
          </w:p>
        </w:tc>
      </w:tr>
      <w:tr>
        <w:tc>
          <w:tcPr>
            <w:tcW w:type="dxa" w:w="2268"/>
            <w:tcMar>
              <w:top w:w="80" w:type="dxa"/>
              <w:start w:w="100" w:type="dxa"/>
              <w:bottom w:w="80" w:type="dxa"/>
              <w:end w:w="100" w:type="dxa"/>
            </w:tcMar>
            <w:vAlign w:val="center"/>
          </w:tcPr>
          <w:p>
            <w:r>
              <w:t>TiPV</w:t>
            </w:r>
          </w:p>
        </w:tc>
        <w:tc>
          <w:tcPr>
            <w:tcW w:type="dxa" w:w="6236"/>
            <w:tcMar>
              <w:top w:w="80" w:type="dxa"/>
              <w:start w:w="100" w:type="dxa"/>
              <w:bottom w:w="80" w:type="dxa"/>
              <w:end w:w="100" w:type="dxa"/>
            </w:tcMar>
            <w:vAlign w:val="center"/>
          </w:tcPr>
          <w:p>
            <w:r>
              <w:t>Tilapia Parvovirus</w:t>
            </w:r>
          </w:p>
        </w:tc>
      </w:tr>
      <w:tr>
        <w:tc>
          <w:tcPr>
            <w:tcW w:type="dxa" w:w="2268"/>
            <w:tcMar>
              <w:top w:w="80" w:type="dxa"/>
              <w:start w:w="100" w:type="dxa"/>
              <w:bottom w:w="80" w:type="dxa"/>
              <w:end w:w="100" w:type="dxa"/>
            </w:tcMar>
            <w:vAlign w:val="center"/>
          </w:tcPr>
          <w:p>
            <w:r>
              <w:t>WOAH</w:t>
            </w:r>
          </w:p>
        </w:tc>
        <w:tc>
          <w:tcPr>
            <w:tcW w:type="dxa" w:w="6236"/>
            <w:tcMar>
              <w:top w:w="80" w:type="dxa"/>
              <w:start w:w="100" w:type="dxa"/>
              <w:bottom w:w="80" w:type="dxa"/>
              <w:end w:w="100" w:type="dxa"/>
            </w:tcMar>
            <w:vAlign w:val="center"/>
          </w:tcPr>
          <w:p>
            <w:r>
              <w:t>World Organisation for Animal Health</w:t>
            </w:r>
          </w:p>
        </w:tc>
      </w:tr>
      <w:tr>
        <w:tc>
          <w:tcPr>
            <w:tcW w:type="dxa" w:w="2268"/>
            <w:tcMar>
              <w:top w:w="80" w:type="dxa"/>
              <w:start w:w="100" w:type="dxa"/>
              <w:bottom w:w="80" w:type="dxa"/>
              <w:end w:w="100" w:type="dxa"/>
            </w:tcMar>
            <w:vAlign w:val="center"/>
          </w:tcPr>
          <w:p>
            <w:r>
              <w:t>FAO</w:t>
            </w:r>
          </w:p>
        </w:tc>
        <w:tc>
          <w:tcPr>
            <w:tcW w:type="dxa" w:w="6236"/>
            <w:tcMar>
              <w:top w:w="80" w:type="dxa"/>
              <w:start w:w="100" w:type="dxa"/>
              <w:bottom w:w="80" w:type="dxa"/>
              <w:end w:w="100" w:type="dxa"/>
            </w:tcMar>
            <w:vAlign w:val="center"/>
          </w:tcPr>
          <w:p>
            <w:r>
              <w:t>Food and Agriculture Organization of the United Nations</w:t>
            </w:r>
          </w:p>
        </w:tc>
      </w:tr>
    </w:tbl>
    <w:p>
      <w:pPr>
        <w:pStyle w:val="Heading1"/>
      </w:pPr>
      <w:r>
        <w:t>3. The GIFT Genetic Improvement and Dissemination Program</w:t>
      </w:r>
    </w:p>
    <w:p>
      <w:pPr/>
      <w:r>
        <w:t>The WorldFish GIFT breeding nucleus is located at the WorldFish Headquarters in Batu Maung, Penang, Malaysia. The ARC consists of hatchery and tank-based facilities used for broodstock conditioning, mating, egg incubation, nursing, tagging, grow-out, sampling, holding, and export preparation. These core areas, together with designated storage and support areas, form the ARC biosecure zone.</w:t>
      </w:r>
    </w:p>
    <w:p>
      <w:pPr/>
      <w:r>
        <w:t>Within ARC, the hatchery and associated tank systems contain populations of different ages, physiological status, and health risk. Broodstock, eggs, fry, fingerlings, and grow-out fish therefore require different levels of protection and movement control. These groups should be managed as separate epidemiological units wherever practical, with movement of people, fish, equipment, and water controlled to protect the highest health status populations first.</w:t>
      </w:r>
    </w:p>
    <w:p>
      <w:pPr>
        <w:pStyle w:val="Heading1"/>
      </w:pPr>
      <w:r>
        <w:t>4. Diseases of concern</w:t>
      </w:r>
    </w:p>
    <w:p>
      <w:pPr/>
      <w:r>
        <w:t>ARC staff must remain alert to both known and emerging diseases of tilapia. Current diseases of concern include, but are not limited to, TiLV, TiPV, ISKNV, streptococcosis, motile aeromonad septicemia or hemorrhagic septicemia associated with Aeromonas spp., columnaris, francisellosis, edwardsiellosis, and EUS.</w:t>
      </w:r>
    </w:p>
    <w:p>
      <w:pPr/>
      <w:r>
        <w:t>Because new aquatic animal diseases continue to emerge, this manual shall be applied not only to known pathogens but also to unexplained disease syndromes and abnormal mortality events. Regular review of the scientific literature, WorldFish guidance, WOAH standards, and national requirements shall be undertaken so that Appendix 1 remains current and operationally useful.</w:t>
      </w:r>
    </w:p>
    <w:p>
      <w:pPr>
        <w:pStyle w:val="Heading1"/>
      </w:pPr>
      <w:r>
        <w:t>5. Purpose and scope of this manual</w:t>
      </w:r>
    </w:p>
    <w:p>
      <w:pPr/>
      <w:r>
        <w:t>The objectives of this manual are to:</w:t>
      </w:r>
    </w:p>
    <w:p>
      <w:pPr>
        <w:pStyle w:val="ListBullet"/>
        <w:ind w:left="340"/>
      </w:pPr>
      <w:r>
        <w:t>prevent the introduction of significant pathogens into ARC</w:t>
      </w:r>
    </w:p>
    <w:p>
      <w:pPr>
        <w:pStyle w:val="ListBullet"/>
        <w:ind w:left="340"/>
      </w:pPr>
      <w:r>
        <w:t>reduce the spread of pathogens within ARC</w:t>
      </w:r>
    </w:p>
    <w:p>
      <w:pPr>
        <w:pStyle w:val="ListBullet"/>
        <w:ind w:left="340"/>
      </w:pPr>
      <w:r>
        <w:t>reduce the risk of pathogen release from ARC to other facilities, receiving countries, or the surrounding environment</w:t>
      </w:r>
    </w:p>
    <w:p>
      <w:pPr>
        <w:pStyle w:val="ListBullet"/>
        <w:ind w:left="340"/>
      </w:pPr>
      <w:r>
        <w:t>support early detection, reporting, containment, and response to disease incidents</w:t>
      </w:r>
    </w:p>
    <w:p>
      <w:pPr>
        <w:pStyle w:val="ListBullet"/>
        <w:ind w:left="340"/>
      </w:pPr>
      <w:r>
        <w:t>support health assurance and certification for fish movements from ARC</w:t>
      </w:r>
    </w:p>
    <w:p>
      <w:pPr>
        <w:pStyle w:val="ListBullet"/>
        <w:ind w:left="340"/>
      </w:pPr>
      <w:r>
        <w:t>provide a practical reference for day-to-day operations, staff induction, training, auditing, and continuous improvement</w:t>
      </w:r>
    </w:p>
    <w:p>
      <w:pPr/>
      <w:r>
        <w:t>This manual applies to all WorldFish staff, temporary staff, contractors, service providers, researchers, consultants, and visitors who enter or work within the ARC biosecure zone.</w:t>
      </w:r>
    </w:p>
    <w:p>
      <w:pPr>
        <w:pStyle w:val="Heading1"/>
      </w:pPr>
      <w:r>
        <w:t>6. Governance, review and responsibilities</w:t>
      </w:r>
    </w:p>
    <w:p>
      <w:pPr/>
      <w:r>
        <w:t>This manual is a living document. It shall be reviewed at least once every two years, and earlier where needed following a disease incident, a major operational change, new scientific information, or a significant biosecurity breach.</w:t>
      </w:r>
    </w:p>
    <w:p>
      <w:pPr/>
      <w:r>
        <w:t>The Operations and Laboratory Manager shall have overall responsibility for implementation and oversight of this manual, in consultation with the Biosecurity Coordinator or Fish Health Specialist, relevant scientists, and facility supervisors.</w:t>
      </w:r>
    </w:p>
    <w:p>
      <w:pPr/>
      <w:r>
        <w:t>WorldFish shall ensure that:</w:t>
      </w:r>
    </w:p>
    <w:p>
      <w:pPr>
        <w:pStyle w:val="ListBullet"/>
        <w:ind w:left="340"/>
      </w:pPr>
      <w:r>
        <w:t>adequate financial and human resources are available to implement this manual</w:t>
      </w:r>
    </w:p>
    <w:p>
      <w:pPr>
        <w:pStyle w:val="ListBullet"/>
        <w:ind w:left="340"/>
      </w:pPr>
      <w:r>
        <w:t>all staff are trained in their biosecurity responsibilities at induction and at regular intervals thereafter</w:t>
      </w:r>
    </w:p>
    <w:p>
      <w:pPr>
        <w:pStyle w:val="ListBullet"/>
        <w:ind w:left="340"/>
      </w:pPr>
      <w:r>
        <w:t>annual internal biosecurity audits are conducted</w:t>
      </w:r>
    </w:p>
    <w:p>
      <w:pPr>
        <w:pStyle w:val="ListBullet"/>
        <w:ind w:left="340"/>
      </w:pPr>
      <w:r>
        <w:t>disease incident response arrangements are periodically reviewed and exercised</w:t>
      </w:r>
    </w:p>
    <w:p>
      <w:pPr>
        <w:pStyle w:val="ListBullet"/>
        <w:ind w:left="340"/>
      </w:pPr>
      <w:r>
        <w:t>records are maintained to demonstrate implementation</w:t>
      </w:r>
    </w:p>
    <w:p>
      <w:pPr>
        <w:pStyle w:val="Heading1"/>
      </w:pPr>
      <w:r>
        <w:t>7. Key contacts</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DCE6F1"/>
            <w:tcMar>
              <w:top w:w="80" w:type="dxa"/>
              <w:start w:w="100" w:type="dxa"/>
              <w:bottom w:w="80" w:type="dxa"/>
              <w:end w:w="100" w:type="dxa"/>
            </w:tcMar>
            <w:vAlign w:val="center"/>
          </w:tcPr>
          <w:p>
            <w:r>
              <w:t>Role</w:t>
            </w:r>
          </w:p>
        </w:tc>
        <w:tc>
          <w:tcPr>
            <w:tcW w:type="dxa" w:w="3211"/>
            <w:shd w:fill="DCE6F1"/>
            <w:tcMar>
              <w:top w:w="80" w:type="dxa"/>
              <w:start w:w="100" w:type="dxa"/>
              <w:bottom w:w="80" w:type="dxa"/>
              <w:end w:w="100" w:type="dxa"/>
            </w:tcMar>
            <w:vAlign w:val="center"/>
          </w:tcPr>
          <w:p>
            <w:r>
              <w:t>Name / Unit</w:t>
            </w:r>
          </w:p>
        </w:tc>
        <w:tc>
          <w:tcPr>
            <w:tcW w:type="dxa" w:w="3211"/>
            <w:shd w:fill="DCE6F1"/>
            <w:tcMar>
              <w:top w:w="80" w:type="dxa"/>
              <w:start w:w="100" w:type="dxa"/>
              <w:bottom w:w="80" w:type="dxa"/>
              <w:end w:w="100" w:type="dxa"/>
            </w:tcMar>
            <w:vAlign w:val="center"/>
          </w:tcPr>
          <w:p>
            <w:r>
              <w:t>Contact information</w:t>
            </w:r>
          </w:p>
        </w:tc>
      </w:tr>
      <w:tr>
        <w:tc>
          <w:tcPr>
            <w:tcW w:type="dxa" w:w="3211"/>
            <w:tcMar>
              <w:top w:w="80" w:type="dxa"/>
              <w:start w:w="100" w:type="dxa"/>
              <w:bottom w:w="80" w:type="dxa"/>
              <w:end w:w="100" w:type="dxa"/>
            </w:tcMar>
            <w:vAlign w:val="center"/>
          </w:tcPr>
          <w:p>
            <w:r>
              <w:t>WorldFish Director General</w:t>
            </w:r>
          </w:p>
        </w:tc>
        <w:tc>
          <w:tcPr>
            <w:tcW w:type="dxa" w:w="3211"/>
            <w:tcMar>
              <w:top w:w="80" w:type="dxa"/>
              <w:start w:w="100" w:type="dxa"/>
              <w:bottom w:w="80" w:type="dxa"/>
              <w:end w:w="100" w:type="dxa"/>
            </w:tcMar>
            <w:vAlign w:val="center"/>
          </w:tcPr>
          <w:p>
            <w:r>
              <w:t>Essam Mohammed</w:t>
            </w:r>
          </w:p>
        </w:tc>
        <w:tc>
          <w:tcPr>
            <w:tcW w:type="dxa" w:w="3211"/>
            <w:tcMar>
              <w:top w:w="80" w:type="dxa"/>
              <w:start w:w="100" w:type="dxa"/>
              <w:bottom w:w="80" w:type="dxa"/>
              <w:end w:w="100" w:type="dxa"/>
            </w:tcMar>
            <w:vAlign w:val="center"/>
          </w:tcPr>
          <w:p>
            <w:r>
              <w:t>e.mohammed@cgiar.org</w:t>
            </w:r>
          </w:p>
        </w:tc>
      </w:tr>
      <w:tr>
        <w:tc>
          <w:tcPr>
            <w:tcW w:type="dxa" w:w="3211"/>
            <w:tcMar>
              <w:top w:w="80" w:type="dxa"/>
              <w:start w:w="100" w:type="dxa"/>
              <w:bottom w:w="80" w:type="dxa"/>
              <w:end w:w="100" w:type="dxa"/>
            </w:tcMar>
            <w:vAlign w:val="center"/>
          </w:tcPr>
          <w:p>
            <w:r>
              <w:t>Director, Aquatic Food Biosciences</w:t>
            </w:r>
          </w:p>
        </w:tc>
        <w:tc>
          <w:tcPr>
            <w:tcW w:type="dxa" w:w="3211"/>
            <w:tcMar>
              <w:top w:w="80" w:type="dxa"/>
              <w:start w:w="100" w:type="dxa"/>
              <w:bottom w:w="80" w:type="dxa"/>
              <w:end w:w="100" w:type="dxa"/>
            </w:tcMar>
            <w:vAlign w:val="center"/>
          </w:tcPr>
          <w:p>
            <w:r>
              <w:t>Rodrigue Yossa</w:t>
            </w:r>
          </w:p>
        </w:tc>
        <w:tc>
          <w:tcPr>
            <w:tcW w:type="dxa" w:w="3211"/>
            <w:tcMar>
              <w:top w:w="80" w:type="dxa"/>
              <w:start w:w="100" w:type="dxa"/>
              <w:bottom w:w="80" w:type="dxa"/>
              <w:end w:w="100" w:type="dxa"/>
            </w:tcMar>
            <w:vAlign w:val="center"/>
          </w:tcPr>
          <w:p>
            <w:r>
              <w:t>r.yossa@cgiar.org</w:t>
            </w:r>
          </w:p>
        </w:tc>
      </w:tr>
      <w:tr>
        <w:tc>
          <w:tcPr>
            <w:tcW w:type="dxa" w:w="3211"/>
            <w:tcMar>
              <w:top w:w="80" w:type="dxa"/>
              <w:start w:w="100" w:type="dxa"/>
              <w:bottom w:w="80" w:type="dxa"/>
              <w:end w:w="100" w:type="dxa"/>
            </w:tcMar>
            <w:vAlign w:val="center"/>
          </w:tcPr>
          <w:p>
            <w:r>
              <w:t>Senior Scientist (Genetics Team Lead)</w:t>
            </w:r>
          </w:p>
        </w:tc>
        <w:tc>
          <w:tcPr>
            <w:tcW w:type="dxa" w:w="3211"/>
            <w:tcMar>
              <w:top w:w="80" w:type="dxa"/>
              <w:start w:w="100" w:type="dxa"/>
              <w:bottom w:w="80" w:type="dxa"/>
              <w:end w:w="100" w:type="dxa"/>
            </w:tcMar>
            <w:vAlign w:val="center"/>
          </w:tcPr>
          <w:p>
            <w:r>
              <w:t>Matthew Hamilton</w:t>
            </w:r>
          </w:p>
        </w:tc>
        <w:tc>
          <w:tcPr>
            <w:tcW w:type="dxa" w:w="3211"/>
            <w:tcMar>
              <w:top w:w="80" w:type="dxa"/>
              <w:start w:w="100" w:type="dxa"/>
              <w:bottom w:w="80" w:type="dxa"/>
              <w:end w:w="100" w:type="dxa"/>
            </w:tcMar>
            <w:vAlign w:val="center"/>
          </w:tcPr>
          <w:p>
            <w:r>
              <w:t>m.hamilton@cgiar.org</w:t>
            </w:r>
          </w:p>
        </w:tc>
      </w:tr>
      <w:tr>
        <w:tc>
          <w:tcPr>
            <w:tcW w:type="dxa" w:w="3211"/>
            <w:tcMar>
              <w:top w:w="80" w:type="dxa"/>
              <w:start w:w="100" w:type="dxa"/>
              <w:bottom w:w="80" w:type="dxa"/>
              <w:end w:w="100" w:type="dxa"/>
            </w:tcMar>
            <w:vAlign w:val="center"/>
          </w:tcPr>
          <w:p>
            <w:r>
              <w:t>Senior Scientist (Fish Genetics)</w:t>
            </w:r>
          </w:p>
        </w:tc>
        <w:tc>
          <w:tcPr>
            <w:tcW w:type="dxa" w:w="3211"/>
            <w:tcMar>
              <w:top w:w="80" w:type="dxa"/>
              <w:start w:w="100" w:type="dxa"/>
              <w:bottom w:w="80" w:type="dxa"/>
              <w:end w:w="100" w:type="dxa"/>
            </w:tcMar>
            <w:vAlign w:val="center"/>
          </w:tcPr>
          <w:p>
            <w:r>
              <w:t>Fariba Izadi</w:t>
            </w:r>
          </w:p>
        </w:tc>
        <w:tc>
          <w:tcPr>
            <w:tcW w:type="dxa" w:w="3211"/>
            <w:tcMar>
              <w:top w:w="80" w:type="dxa"/>
              <w:start w:w="100" w:type="dxa"/>
              <w:bottom w:w="80" w:type="dxa"/>
              <w:end w:w="100" w:type="dxa"/>
            </w:tcMar>
            <w:vAlign w:val="center"/>
          </w:tcPr>
          <w:p>
            <w:r>
              <w:t>f.izadi@cgiar.org</w:t>
            </w:r>
          </w:p>
        </w:tc>
      </w:tr>
      <w:tr>
        <w:tc>
          <w:tcPr>
            <w:tcW w:type="dxa" w:w="3211"/>
            <w:tcMar>
              <w:top w:w="80" w:type="dxa"/>
              <w:start w:w="100" w:type="dxa"/>
              <w:bottom w:w="80" w:type="dxa"/>
              <w:end w:w="100" w:type="dxa"/>
            </w:tcMar>
            <w:vAlign w:val="center"/>
          </w:tcPr>
          <w:p>
            <w:r>
              <w:t>Biosecurity Coordinator and Fish Health Specialist</w:t>
            </w:r>
          </w:p>
        </w:tc>
        <w:tc>
          <w:tcPr>
            <w:tcW w:type="dxa" w:w="3211"/>
            <w:tcMar>
              <w:top w:w="80" w:type="dxa"/>
              <w:start w:w="100" w:type="dxa"/>
              <w:bottom w:w="80" w:type="dxa"/>
              <w:end w:w="100" w:type="dxa"/>
            </w:tcMar>
            <w:vAlign w:val="center"/>
          </w:tcPr>
          <w:p>
            <w:r>
              <w:t>David Verner-Jeffreys</w:t>
            </w:r>
          </w:p>
        </w:tc>
        <w:tc>
          <w:tcPr>
            <w:tcW w:type="dxa" w:w="3211"/>
            <w:tcMar>
              <w:top w:w="80" w:type="dxa"/>
              <w:start w:w="100" w:type="dxa"/>
              <w:bottom w:w="80" w:type="dxa"/>
              <w:end w:w="100" w:type="dxa"/>
            </w:tcMar>
            <w:vAlign w:val="center"/>
          </w:tcPr>
          <w:p>
            <w:r>
              <w:t>d.verner-jeffreys@cgiar.org</w:t>
            </w:r>
          </w:p>
        </w:tc>
      </w:tr>
      <w:tr>
        <w:tc>
          <w:tcPr>
            <w:tcW w:type="dxa" w:w="3211"/>
            <w:tcMar>
              <w:top w:w="80" w:type="dxa"/>
              <w:start w:w="100" w:type="dxa"/>
              <w:bottom w:w="80" w:type="dxa"/>
              <w:end w:w="100" w:type="dxa"/>
            </w:tcMar>
            <w:vAlign w:val="center"/>
          </w:tcPr>
          <w:p>
            <w:r>
              <w:t>Operations and Laboratory Manager</w:t>
            </w:r>
          </w:p>
        </w:tc>
        <w:tc>
          <w:tcPr>
            <w:tcW w:type="dxa" w:w="3211"/>
            <w:tcMar>
              <w:top w:w="80" w:type="dxa"/>
              <w:start w:w="100" w:type="dxa"/>
              <w:bottom w:w="80" w:type="dxa"/>
              <w:end w:w="100" w:type="dxa"/>
            </w:tcMar>
            <w:vAlign w:val="center"/>
          </w:tcPr>
          <w:p>
            <w:r>
              <w:t>Mahirah Mahmuddin</w:t>
            </w:r>
          </w:p>
        </w:tc>
        <w:tc>
          <w:tcPr>
            <w:tcW w:type="dxa" w:w="3211"/>
            <w:tcMar>
              <w:top w:w="80" w:type="dxa"/>
              <w:start w:w="100" w:type="dxa"/>
              <w:bottom w:w="80" w:type="dxa"/>
              <w:end w:w="100" w:type="dxa"/>
            </w:tcMar>
            <w:vAlign w:val="center"/>
          </w:tcPr>
          <w:p>
            <w:r>
              <w:t>m.mahmuddin@cgiar.org</w:t>
            </w:r>
          </w:p>
        </w:tc>
      </w:tr>
      <w:tr>
        <w:tc>
          <w:tcPr>
            <w:tcW w:type="dxa" w:w="3211"/>
            <w:tcMar>
              <w:top w:w="80" w:type="dxa"/>
              <w:start w:w="100" w:type="dxa"/>
              <w:bottom w:w="80" w:type="dxa"/>
              <w:end w:w="100" w:type="dxa"/>
            </w:tcMar>
            <w:vAlign w:val="center"/>
          </w:tcPr>
          <w:p>
            <w:r>
              <w:t>Hatchery Supervisor</w:t>
            </w:r>
          </w:p>
        </w:tc>
        <w:tc>
          <w:tcPr>
            <w:tcW w:type="dxa" w:w="3211"/>
            <w:tcMar>
              <w:top w:w="80" w:type="dxa"/>
              <w:start w:w="100" w:type="dxa"/>
              <w:bottom w:w="80" w:type="dxa"/>
              <w:end w:w="100" w:type="dxa"/>
            </w:tcMar>
            <w:vAlign w:val="center"/>
          </w:tcPr>
          <w:p>
            <w:r>
              <w:t>Difa Dhaniah Zharfan Engcong</w:t>
            </w:r>
          </w:p>
        </w:tc>
        <w:tc>
          <w:tcPr>
            <w:tcW w:type="dxa" w:w="3211"/>
            <w:tcMar>
              <w:top w:w="80" w:type="dxa"/>
              <w:start w:w="100" w:type="dxa"/>
              <w:bottom w:w="80" w:type="dxa"/>
              <w:end w:w="100" w:type="dxa"/>
            </w:tcMar>
            <w:vAlign w:val="center"/>
          </w:tcPr>
          <w:p>
            <w:r>
              <w:t>d.engcong@cgiar.org</w:t>
            </w:r>
          </w:p>
        </w:tc>
      </w:tr>
      <w:tr>
        <w:tc>
          <w:tcPr>
            <w:tcW w:type="dxa" w:w="3211"/>
            <w:tcMar>
              <w:top w:w="80" w:type="dxa"/>
              <w:start w:w="100" w:type="dxa"/>
              <w:bottom w:w="80" w:type="dxa"/>
              <w:end w:w="100" w:type="dxa"/>
            </w:tcMar>
            <w:vAlign w:val="center"/>
          </w:tcPr>
          <w:p>
            <w:r>
              <w:t>Competent authority for disease reporting and liaison</w:t>
            </w:r>
          </w:p>
        </w:tc>
        <w:tc>
          <w:tcPr>
            <w:tcW w:type="dxa" w:w="3211"/>
            <w:tcMar>
              <w:top w:w="80" w:type="dxa"/>
              <w:start w:w="100" w:type="dxa"/>
              <w:bottom w:w="80" w:type="dxa"/>
              <w:end w:w="100" w:type="dxa"/>
            </w:tcMar>
            <w:vAlign w:val="center"/>
          </w:tcPr>
          <w:p>
            <w:r>
              <w:t>Penang Fisheries Biosecurity Division</w:t>
            </w:r>
          </w:p>
        </w:tc>
        <w:tc>
          <w:tcPr>
            <w:tcW w:type="dxa" w:w="3211"/>
            <w:tcMar>
              <w:top w:w="80" w:type="dxa"/>
              <w:start w:w="100" w:type="dxa"/>
              <w:bottom w:w="80" w:type="dxa"/>
              <w:end w:w="100" w:type="dxa"/>
            </w:tcMar>
            <w:vAlign w:val="center"/>
          </w:tcPr>
          <w:p>
            <w:r>
              <w:t>dofbiosekuriti.penang@gmail.com | 04-653 0519</w:t>
            </w:r>
          </w:p>
        </w:tc>
      </w:tr>
      <w:tr>
        <w:tc>
          <w:tcPr>
            <w:tcW w:type="dxa" w:w="3211"/>
            <w:tcMar>
              <w:top w:w="80" w:type="dxa"/>
              <w:start w:w="100" w:type="dxa"/>
              <w:bottom w:w="80" w:type="dxa"/>
              <w:end w:w="100" w:type="dxa"/>
            </w:tcMar>
            <w:vAlign w:val="center"/>
          </w:tcPr>
          <w:p>
            <w:r>
              <w:t>Contact for safe disposal of large fish kills</w:t>
            </w:r>
          </w:p>
        </w:tc>
        <w:tc>
          <w:tcPr>
            <w:tcW w:type="dxa" w:w="3211"/>
            <w:tcMar>
              <w:top w:w="80" w:type="dxa"/>
              <w:start w:w="100" w:type="dxa"/>
              <w:bottom w:w="80" w:type="dxa"/>
              <w:end w:w="100" w:type="dxa"/>
            </w:tcMar>
            <w:vAlign w:val="center"/>
          </w:tcPr>
          <w:p>
            <w:r>
              <w:t>Penang Fisheries Biosecurity Division</w:t>
            </w:r>
          </w:p>
        </w:tc>
        <w:tc>
          <w:tcPr>
            <w:tcW w:type="dxa" w:w="3211"/>
            <w:tcMar>
              <w:top w:w="80" w:type="dxa"/>
              <w:start w:w="100" w:type="dxa"/>
              <w:bottom w:w="80" w:type="dxa"/>
              <w:end w:w="100" w:type="dxa"/>
            </w:tcMar>
            <w:vAlign w:val="center"/>
          </w:tcPr>
          <w:p>
            <w:r>
              <w:t>dofbiosekuriti.penang@gmail.com | 04-653 0519</w:t>
            </w:r>
          </w:p>
        </w:tc>
      </w:tr>
      <w:tr>
        <w:tc>
          <w:tcPr>
            <w:tcW w:type="dxa" w:w="3211"/>
            <w:tcMar>
              <w:top w:w="80" w:type="dxa"/>
              <w:start w:w="100" w:type="dxa"/>
              <w:bottom w:w="80" w:type="dxa"/>
              <w:end w:w="100" w:type="dxa"/>
            </w:tcMar>
            <w:vAlign w:val="center"/>
          </w:tcPr>
          <w:p>
            <w:r>
              <w:t>Disease diagnostic laboratory</w:t>
            </w:r>
          </w:p>
        </w:tc>
        <w:tc>
          <w:tcPr>
            <w:tcW w:type="dxa" w:w="3211"/>
            <w:tcMar>
              <w:top w:w="80" w:type="dxa"/>
              <w:start w:w="100" w:type="dxa"/>
              <w:bottom w:w="80" w:type="dxa"/>
              <w:end w:w="100" w:type="dxa"/>
            </w:tcMar>
            <w:vAlign w:val="center"/>
          </w:tcPr>
          <w:p>
            <w:r>
              <w:t>Lab-Ind Resource Sdn. Bhd.</w:t>
            </w:r>
          </w:p>
        </w:tc>
        <w:tc>
          <w:tcPr>
            <w:tcW w:type="dxa" w:w="3211"/>
            <w:tcMar>
              <w:top w:w="80" w:type="dxa"/>
              <w:start w:w="100" w:type="dxa"/>
              <w:bottom w:w="80" w:type="dxa"/>
              <w:end w:w="100" w:type="dxa"/>
            </w:tcMar>
            <w:vAlign w:val="center"/>
          </w:tcPr>
          <w:p>
            <w:r>
              <w:t>03-6021 6880</w:t>
            </w:r>
          </w:p>
        </w:tc>
      </w:tr>
      <w:tr>
        <w:tc>
          <w:tcPr>
            <w:tcW w:type="dxa" w:w="3211"/>
            <w:tcMar>
              <w:top w:w="80" w:type="dxa"/>
              <w:start w:w="100" w:type="dxa"/>
              <w:bottom w:w="80" w:type="dxa"/>
              <w:end w:w="100" w:type="dxa"/>
            </w:tcMar>
            <w:vAlign w:val="center"/>
          </w:tcPr>
          <w:p>
            <w:r>
              <w:t>Purchase of biosecurity management materials</w:t>
            </w:r>
          </w:p>
        </w:tc>
        <w:tc>
          <w:tcPr>
            <w:tcW w:type="dxa" w:w="3211"/>
            <w:tcMar>
              <w:top w:w="80" w:type="dxa"/>
              <w:start w:w="100" w:type="dxa"/>
              <w:bottom w:w="80" w:type="dxa"/>
              <w:end w:w="100" w:type="dxa"/>
            </w:tcMar>
            <w:vAlign w:val="center"/>
          </w:tcPr>
          <w:p>
            <w:r>
              <w:t>Kalah Devi Muniandy</w:t>
            </w:r>
          </w:p>
        </w:tc>
        <w:tc>
          <w:tcPr>
            <w:tcW w:type="dxa" w:w="3211"/>
            <w:tcMar>
              <w:top w:w="80" w:type="dxa"/>
              <w:start w:w="100" w:type="dxa"/>
              <w:bottom w:w="80" w:type="dxa"/>
              <w:end w:w="100" w:type="dxa"/>
            </w:tcMar>
            <w:vAlign w:val="center"/>
          </w:tcPr>
          <w:p>
            <w:r>
              <w:t>k.muniandy@cgiar.org</w:t>
            </w:r>
          </w:p>
        </w:tc>
      </w:tr>
    </w:tbl>
    <w:p>
      <w:pPr>
        <w:pStyle w:val="Heading1"/>
      </w:pPr>
      <w:r>
        <w:t>8. Location of ARC</w:t>
      </w:r>
    </w:p>
    <w:p>
      <w:pPr/>
      <w:r>
        <w:t>A current site map of the WorldFish campus shall be maintained and shall clearly identify the ARC biosecure zone, controlled access points, water intake and discharge points, hatchery and tank areas, storage areas, and any quarantine or isolation spaces.</w:t>
      </w:r>
    </w:p>
    <w:p>
      <w:pPr/>
      <w:r>
        <w:t>The biosecure zone shall be supported by physical boundaries, controlled access points, and signage indicating that entry is restricted to authorized personnel and approved visitors operating under ARC biosecurity requirements.</w:t>
      </w:r>
    </w:p>
    <w:p>
      <w:pPr>
        <w:pStyle w:val="Heading1"/>
      </w:pPr>
      <w:r>
        <w:t>9. GIFT breeding program workflow</w:t>
      </w:r>
    </w:p>
    <w:p>
      <w:pPr/>
      <w:r>
        <w:rPr>
          <w:b/>
        </w:rPr>
        <w:t xml:space="preserve">1. Broodstock conditioning </w:t>
      </w:r>
      <w:r>
        <w:t>Mature fish are selected based on breeding program criteria, including estimated breeding values where applicable, and transferred to conditioning tanks. Males and females are conditioned separately prior to planned mating.</w:t>
      </w:r>
    </w:p>
    <w:p>
      <w:pPr/>
      <w:r>
        <w:rPr>
          <w:b/>
        </w:rPr>
        <w:t xml:space="preserve">2. Mating </w:t>
      </w:r>
      <w:r>
        <w:t>Selected broodstock are stocked into mating tanks according to the approved mating design. Eggs or fry produced are collected and transferred to the hatchery or incubation area.</w:t>
      </w:r>
    </w:p>
    <w:p>
      <w:pPr/>
      <w:r>
        <w:rPr>
          <w:b/>
        </w:rPr>
        <w:t xml:space="preserve">3. Nursing </w:t>
      </w:r>
      <w:r>
        <w:t>Following hatching, fry are maintained in designated nursing units until they reach the appropriate size and condition for tagging and subsequent rearing.</w:t>
      </w:r>
    </w:p>
    <w:p>
      <w:pPr/>
      <w:r>
        <w:rPr>
          <w:b/>
        </w:rPr>
        <w:t xml:space="preserve">4. Tagging </w:t>
      </w:r>
      <w:r>
        <w:t>Fingerlings of suitable size are tagged using approved procedures. Handling stress, anesthesia, instrument hygiene, and post-tagging wound care must be carefully managed to reduce infection risk.</w:t>
      </w:r>
    </w:p>
    <w:p>
      <w:pPr/>
      <w:r>
        <w:rPr>
          <w:b/>
        </w:rPr>
        <w:t xml:space="preserve">5. Grow-out and family rearing </w:t>
      </w:r>
      <w:r>
        <w:t>Tagged fish are reared in designated tanks according to the breeding program design. Fish movements between units shall be recorded and biosecurity controls maintained.</w:t>
      </w:r>
    </w:p>
    <w:p>
      <w:pPr/>
      <w:r>
        <w:rPr>
          <w:b/>
        </w:rPr>
        <w:t xml:space="preserve">6. Harvesting and sampling </w:t>
      </w:r>
      <w:r>
        <w:t>When fish reach the required size or stage, they are harvested, sampled, weighed, and assessed in the designated sampling area using approved equipment and disinfection procedures.</w:t>
      </w:r>
    </w:p>
    <w:p>
      <w:pPr/>
      <w:r>
        <w:rPr>
          <w:b/>
        </w:rPr>
        <w:t xml:space="preserve">7. Production of the next generation </w:t>
      </w:r>
      <w:r>
        <w:t>Selected fish are transferred back to the conditioning system to serve as the parent stock for the next generation of the GIFT breeding program.</w:t>
      </w:r>
    </w:p>
    <w:p>
      <w:pPr>
        <w:pStyle w:val="Heading1"/>
      </w:pPr>
      <w:r>
        <w:t>10. Biosecurity principles</w:t>
      </w:r>
    </w:p>
    <w:p>
      <w:pPr>
        <w:pStyle w:val="ListBullet"/>
        <w:ind w:left="340"/>
      </w:pPr>
      <w:r>
        <w:t>Risk-based planning. Biosecurity measures must be proportional to identified risks and reviewed regularly.</w:t>
      </w:r>
    </w:p>
    <w:p>
      <w:pPr>
        <w:pStyle w:val="ListBullet"/>
        <w:ind w:left="340"/>
      </w:pPr>
      <w:r>
        <w:t>Pathway-based control. Measures must address the major routes by which pathogens can enter, spread within, or leave the facility, including animals, water, people, fomites, feed, waste, and wildlife.</w:t>
      </w:r>
    </w:p>
    <w:p>
      <w:pPr>
        <w:pStyle w:val="ListBullet"/>
        <w:ind w:left="340"/>
      </w:pPr>
      <w:r>
        <w:t>Protection of high-health populations. The highest health status populations, such as broodstock, eggs, and early life stages, shall receive the highest level of protection.</w:t>
      </w:r>
    </w:p>
    <w:p>
      <w:pPr>
        <w:pStyle w:val="ListBullet"/>
        <w:ind w:left="340"/>
      </w:pPr>
      <w:r>
        <w:t>Segregation and controlled movement. Physical separation and controlled movement of people, fish, equipment, and water shall be used to reduce cross-contamination.</w:t>
      </w:r>
    </w:p>
    <w:p>
      <w:pPr>
        <w:pStyle w:val="ListBullet"/>
        <w:ind w:left="340"/>
      </w:pPr>
      <w:r>
        <w:t>Early detection and rapid response. Daily observation, routine health monitoring, and clear disease notification procedures shall support rapid action.</w:t>
      </w:r>
    </w:p>
    <w:p>
      <w:pPr>
        <w:pStyle w:val="ListBullet"/>
        <w:ind w:left="340"/>
      </w:pPr>
      <w:r>
        <w:t>Record-based management. Biosecurity implementation must be verifiable through accurate and timely records.</w:t>
      </w:r>
    </w:p>
    <w:p>
      <w:pPr>
        <w:pStyle w:val="ListBullet"/>
        <w:ind w:left="340"/>
      </w:pPr>
      <w:r>
        <w:t>Continuous improvement. Measures shall be updated as new evidence, operational learning, and disease threats emerge.</w:t>
      </w:r>
    </w:p>
    <w:p>
      <w:pPr>
        <w:pStyle w:val="Heading1"/>
      </w:pPr>
      <w:r>
        <w:t>11. Biosecurity measures</w:t>
      </w:r>
    </w:p>
    <w:p>
      <w:pPr>
        <w:pStyle w:val="Heading2"/>
      </w:pPr>
      <w:r>
        <w:t>11.1 Administration</w:t>
      </w:r>
    </w:p>
    <w:p>
      <w:pPr>
        <w:pStyle w:val="ListBullet"/>
        <w:ind w:left="340"/>
      </w:pPr>
      <w:r>
        <w:t>The Operations and Laboratory Manager is responsible for ensuring that this biosecurity manual is implemented, maintained, reviewed, and communicated.</w:t>
      </w:r>
    </w:p>
    <w:p>
      <w:pPr>
        <w:pStyle w:val="ListBullet"/>
        <w:ind w:left="340"/>
      </w:pPr>
      <w:r>
        <w:t>The Biosecurity Coordinator or Fish Health Specialist shall provide technical support on disease prevention, surveillance, incident response, and review of risk controls.</w:t>
      </w:r>
    </w:p>
    <w:p>
      <w:pPr>
        <w:pStyle w:val="ListBullet"/>
        <w:ind w:left="340"/>
      </w:pPr>
      <w:r>
        <w:t>An internal biosecurity audit shall be conducted at least annually.</w:t>
      </w:r>
    </w:p>
    <w:p>
      <w:pPr>
        <w:pStyle w:val="ListBullet"/>
        <w:ind w:left="340"/>
      </w:pPr>
      <w:r>
        <w:t>At least every two years, the audit process shall include review of disease incident response capacity and, where feasible, an emergency simulation or tabletop exercise.</w:t>
      </w:r>
    </w:p>
    <w:p>
      <w:pPr>
        <w:pStyle w:val="ListBullet"/>
        <w:ind w:left="340"/>
      </w:pPr>
      <w:r>
        <w:t>Biosecurity shall form part of induction for all new staff, temporary workers, students, contractors, and relevant visitors.</w:t>
      </w:r>
    </w:p>
    <w:p>
      <w:pPr>
        <w:pStyle w:val="ListBullet"/>
        <w:ind w:left="340"/>
      </w:pPr>
      <w:r>
        <w:t>Refresher training shall be conducted at least annually, with training records retained.</w:t>
      </w:r>
    </w:p>
    <w:p>
      <w:pPr>
        <w:pStyle w:val="ListBullet"/>
        <w:ind w:left="340"/>
      </w:pPr>
      <w:r>
        <w:t>Current copies of this manual and related SOPs shall be readily accessible to all relevant personnel.</w:t>
      </w:r>
    </w:p>
    <w:p>
      <w:pPr>
        <w:pStyle w:val="ListBullet"/>
        <w:ind w:left="340"/>
      </w:pPr>
      <w:r>
        <w:t>The ARC biosecure zone shall be used only for approved ARC breeding nucleus activities.</w:t>
      </w:r>
    </w:p>
    <w:p>
      <w:pPr>
        <w:pStyle w:val="ListBullet"/>
        <w:ind w:left="340"/>
      </w:pPr>
      <w:r>
        <w:t>Appropriate budget shall be maintained for routine biosecurity supplies, diagnostics, maintenance, and emergency response needs.</w:t>
      </w:r>
    </w:p>
    <w:p>
      <w:pPr>
        <w:pStyle w:val="Heading2"/>
      </w:pPr>
      <w:r>
        <w:t>11.2 Farm design and facility structure</w:t>
      </w:r>
    </w:p>
    <w:p>
      <w:pPr>
        <w:pStyle w:val="ListBullet"/>
        <w:ind w:left="340"/>
      </w:pPr>
      <w:r>
        <w:t>The ARC biosecure zone shall have clearly defined physical boundaries and controlled entry points.</w:t>
      </w:r>
    </w:p>
    <w:p>
      <w:pPr>
        <w:pStyle w:val="ListBullet"/>
        <w:ind w:left="340"/>
      </w:pPr>
      <w:r>
        <w:t>Signage shall be posted at the site entrance and at entry points to internal biosecure areas.</w:t>
      </w:r>
    </w:p>
    <w:p>
      <w:pPr>
        <w:pStyle w:val="ListBullet"/>
        <w:ind w:left="340"/>
      </w:pPr>
      <w:r>
        <w:t>Hatchery, nursery, tagging, sampling, broodstock conditioning, and grow-out areas shall be functionally separated to the greatest extent practical.</w:t>
      </w:r>
    </w:p>
    <w:p>
      <w:pPr>
        <w:pStyle w:val="ListBullet"/>
        <w:ind w:left="340"/>
      </w:pPr>
      <w:r>
        <w:t>Production units shall have unique, permanent identifiers.</w:t>
      </w:r>
    </w:p>
    <w:p>
      <w:pPr>
        <w:pStyle w:val="ListBullet"/>
        <w:ind w:left="340"/>
      </w:pPr>
      <w:r>
        <w:t>Buildings, tanks, reservoirs, lines, and drainage systems shall be maintained to prevent seepage, leakage, ingress of contaminated water, or unintended fish escape.</w:t>
      </w:r>
    </w:p>
    <w:p>
      <w:pPr>
        <w:pStyle w:val="ListBullet"/>
        <w:ind w:left="340"/>
      </w:pPr>
      <w:r>
        <w:t>Separate and appropriately labeled areas shall be maintained for feed, chemicals, PPE, equipment, and waste handling.</w:t>
      </w:r>
    </w:p>
    <w:p>
      <w:pPr>
        <w:pStyle w:val="ListBullet"/>
        <w:ind w:left="340"/>
      </w:pPr>
      <w:r>
        <w:t>A quarantine area shall be maintained for newly introduced fish and, where practical, a separate isolation area shall be available for clinically affected fish pending diagnosis and management.</w:t>
      </w:r>
    </w:p>
    <w:p>
      <w:pPr>
        <w:pStyle w:val="ListBullet"/>
        <w:ind w:left="340"/>
      </w:pPr>
      <w:r>
        <w:t>Measures shall be in place to prevent access by wild fish, birds, rodents, and domestic animals.</w:t>
      </w:r>
    </w:p>
    <w:p>
      <w:pPr>
        <w:pStyle w:val="Heading2"/>
      </w:pPr>
      <w:r>
        <w:t>11.3 Managing pathways of disease entry and spread</w:t>
      </w:r>
    </w:p>
    <w:p>
      <w:pPr>
        <w:pStyle w:val="ListBullet"/>
        <w:ind w:left="340"/>
      </w:pPr>
      <w:r>
        <w:t>Pathogens may be introduced, amplified, and spread through multiple pathways, including aquatic animals, aquatic animal products and waste, water, feed, equipment, vehicles, packaging, clothing, footwear, personnel, and wildlife.</w:t>
      </w:r>
    </w:p>
    <w:p>
      <w:pPr>
        <w:pStyle w:val="ListBullet"/>
        <w:ind w:left="340"/>
      </w:pPr>
      <w:r>
        <w:t>At ARC, biosecurity controls shall address all major pathways and shall prioritize measures that protect high-value and high-health populations, especially broodstock, eggs, fry, and fingerlings.</w:t>
      </w:r>
    </w:p>
    <w:p>
      <w:pPr>
        <w:pStyle w:val="Heading2"/>
      </w:pPr>
      <w:r>
        <w:t>11.4 People</w:t>
      </w:r>
    </w:p>
    <w:p>
      <w:pPr>
        <w:pStyle w:val="ListBullet"/>
        <w:ind w:left="340"/>
      </w:pPr>
      <w:r>
        <w:t>Access to the ARC biosecure zone shall be controlled and limited to authorized personnel.</w:t>
      </w:r>
    </w:p>
    <w:p>
      <w:pPr>
        <w:pStyle w:val="ListBullet"/>
        <w:ind w:left="340"/>
      </w:pPr>
      <w:r>
        <w:t>Casual or unauthorized entry is prohibited.</w:t>
      </w:r>
    </w:p>
    <w:p>
      <w:pPr>
        <w:pStyle w:val="ListBullet"/>
        <w:ind w:left="340"/>
      </w:pPr>
      <w:r>
        <w:t>All visitors shall sign a visitor register that records name, contact information, date, purpose of visit, and recent exposure to aquaculture sites, fish processing facilities, laboratories, or disease events.</w:t>
      </w:r>
    </w:p>
    <w:p>
      <w:pPr>
        <w:pStyle w:val="ListBullet"/>
        <w:ind w:left="340"/>
      </w:pPr>
      <w:r>
        <w:t>Any visitor who has recently visited another aquaculture facility or other high-risk site shall be assessed before entry and may be subject to additional precautions or denied access.</w:t>
      </w:r>
    </w:p>
    <w:p>
      <w:pPr>
        <w:pStyle w:val="ListBullet"/>
        <w:ind w:left="340"/>
      </w:pPr>
      <w:r>
        <w:t>Visitors shall be briefed on biosecurity rules and escorted at all times while in the biosecure zone.</w:t>
      </w:r>
    </w:p>
    <w:p>
      <w:pPr>
        <w:pStyle w:val="ListBullet"/>
        <w:ind w:left="340"/>
      </w:pPr>
      <w:r>
        <w:t>Handwashing or hand-sanitizing facilities, footbaths, and designated boots or disposable shoe coverings shall be provided at relevant entry points.</w:t>
      </w:r>
    </w:p>
    <w:p>
      <w:pPr>
        <w:pStyle w:val="ListBullet"/>
        <w:ind w:left="340"/>
      </w:pPr>
      <w:r>
        <w:t>Staff movement within ARC shall follow a directional workflow from higher-health to lower-health populations wherever possible.</w:t>
      </w:r>
    </w:p>
    <w:p>
      <w:pPr>
        <w:pStyle w:val="ListBullet"/>
        <w:ind w:left="340"/>
      </w:pPr>
      <w:r>
        <w:t>Staff must comply with cleaning and disinfection requirements when moving between epidemiologically separate units.</w:t>
      </w:r>
    </w:p>
    <w:p>
      <w:pPr>
        <w:pStyle w:val="ListBullet"/>
        <w:ind w:left="340"/>
      </w:pPr>
      <w:r>
        <w:t>Staff training records shall be maintained and refreshed annually.</w:t>
      </w:r>
    </w:p>
    <w:p>
      <w:pPr>
        <w:pStyle w:val="Heading2"/>
      </w:pPr>
      <w:r>
        <w:t>11.5 Animals</w:t>
      </w:r>
    </w:p>
    <w:p>
      <w:pPr>
        <w:pStyle w:val="ListBullet"/>
        <w:ind w:left="340"/>
      </w:pPr>
      <w:r>
        <w:t>All fish movements onto, within, and off the facility shall be recorded.</w:t>
      </w:r>
    </w:p>
    <w:p>
      <w:pPr>
        <w:pStyle w:val="ListBullet"/>
        <w:ind w:left="340"/>
      </w:pPr>
      <w:r>
        <w:t>Introduction of new fish or genetic material into ARC shall require prior approval by the designated WorldFish authority.</w:t>
      </w:r>
    </w:p>
    <w:p>
      <w:pPr>
        <w:pStyle w:val="ListBullet"/>
        <w:ind w:left="340"/>
      </w:pPr>
      <w:r>
        <w:t>Introduced animals shall only be sourced from populations with documented health status and appropriate supporting health documentation.</w:t>
      </w:r>
    </w:p>
    <w:p>
      <w:pPr>
        <w:pStyle w:val="ListBullet"/>
        <w:ind w:left="340"/>
      </w:pPr>
      <w:r>
        <w:t>Newly introduced fish shall undergo quarantine in an epidemiologically separate area and be monitored and, where required, tested for pathogens of concern before any release decision.</w:t>
      </w:r>
    </w:p>
    <w:p>
      <w:pPr>
        <w:pStyle w:val="ListBullet"/>
        <w:ind w:left="340"/>
      </w:pPr>
      <w:r>
        <w:t>Where feasible and appropriate to the breeding objective, only progeny meeting the required health assurance standard shall be admitted into the main biosecure breeding nucleus.</w:t>
      </w:r>
    </w:p>
    <w:p>
      <w:pPr>
        <w:pStyle w:val="ListBullet"/>
        <w:ind w:left="340"/>
      </w:pPr>
      <w:r>
        <w:t>Fish shall only be moved internally after consideration of the health status of the source and destination units.</w:t>
      </w:r>
    </w:p>
    <w:p>
      <w:pPr>
        <w:pStyle w:val="ListBullet"/>
        <w:ind w:left="340"/>
      </w:pPr>
      <w:r>
        <w:t>Screens, nets, or other barriers shall be maintained on inlets, outlets, and overflow points to prevent fish escape and entry of wild aquatic animals.</w:t>
      </w:r>
    </w:p>
    <w:p>
      <w:pPr>
        <w:pStyle w:val="ListBullet"/>
        <w:ind w:left="340"/>
      </w:pPr>
      <w:r>
        <w:t>Wild animals, birds, rodents, cats, and other pests shall be excluded or controlled.</w:t>
      </w:r>
    </w:p>
    <w:p>
      <w:pPr>
        <w:pStyle w:val="ListBullet"/>
        <w:ind w:left="340"/>
      </w:pPr>
      <w:r>
        <w:t>Dead or moribund fish shall be removed as soon as possible, recorded, and disposed of safely.</w:t>
      </w:r>
    </w:p>
    <w:p>
      <w:pPr>
        <w:pStyle w:val="ListBullet"/>
        <w:ind w:left="340"/>
      </w:pPr>
      <w:r>
        <w:t>Unexplained or unusual mortality, suspicion of significant infectious disease, or emerging disease events shall be reported promptly in accordance with national requirements and WorldFish procedures.</w:t>
      </w:r>
    </w:p>
    <w:p>
      <w:pPr>
        <w:pStyle w:val="Heading2"/>
      </w:pPr>
      <w:r>
        <w:t>11.6 Equipment and vehicles</w:t>
      </w:r>
    </w:p>
    <w:p>
      <w:pPr>
        <w:pStyle w:val="ListBullet"/>
        <w:ind w:left="340"/>
      </w:pPr>
      <w:r>
        <w:t>Equipment entering the biosecure zone is assessed for risk and cleaned and disinfected where necessary before entry.</w:t>
      </w:r>
    </w:p>
    <w:p>
      <w:pPr>
        <w:pStyle w:val="ListBullet"/>
        <w:ind w:left="340"/>
      </w:pPr>
      <w:r>
        <w:t>Vehicle access into the biosecure zone is minimized. Designated loading and delivery areas should, where possible, be located outside the inner biosecure area.</w:t>
      </w:r>
    </w:p>
    <w:p>
      <w:pPr>
        <w:pStyle w:val="ListBullet"/>
        <w:ind w:left="340"/>
      </w:pPr>
      <w:r>
        <w:t>Equipment is assigned by area or epidemiological unit wherever practical.</w:t>
      </w:r>
    </w:p>
    <w:p>
      <w:pPr>
        <w:pStyle w:val="ListBullet"/>
        <w:ind w:left="340"/>
      </w:pPr>
      <w:r>
        <w:t>Shared equipment shall be cleaned and disinfected between uses and between units.</w:t>
      </w:r>
    </w:p>
    <w:p>
      <w:pPr>
        <w:pStyle w:val="ListBullet"/>
        <w:ind w:left="340"/>
      </w:pPr>
      <w:r>
        <w:t>Nets, pails, scoops, sampling tools, tagging tools, and other fish-contact items shall be disinfected using approved disinfectants at validated concentrations and contact times.</w:t>
      </w:r>
    </w:p>
    <w:p>
      <w:pPr>
        <w:pStyle w:val="ListBullet"/>
        <w:ind w:left="340"/>
      </w:pPr>
      <w:r>
        <w:t>Cleaning and disinfection events shall be recorded.</w:t>
      </w:r>
    </w:p>
    <w:p>
      <w:pPr>
        <w:pStyle w:val="Heading2"/>
      </w:pPr>
      <w:r>
        <w:t>11.7 Water</w:t>
      </w:r>
    </w:p>
    <w:p>
      <w:pPr>
        <w:pStyle w:val="ListBullet"/>
        <w:ind w:left="340"/>
      </w:pPr>
      <w:r>
        <w:t>Source water risk shall be reviewed periodically, including changes in surrounding land use, nearby aquaculture activity, flooding risk, or other hydrological factors.</w:t>
      </w:r>
    </w:p>
    <w:p>
      <w:pPr>
        <w:pStyle w:val="ListBullet"/>
        <w:ind w:left="340"/>
      </w:pPr>
      <w:r>
        <w:t>Physical screening of incoming water shall be maintained to prevent entry of wild fish or other aquatic animals.</w:t>
      </w:r>
    </w:p>
    <w:p>
      <w:pPr>
        <w:pStyle w:val="ListBullet"/>
        <w:ind w:left="340"/>
      </w:pPr>
      <w:r>
        <w:t>Filtration, settlement, and disinfection measures shall be used as appropriate to the level of risk.</w:t>
      </w:r>
    </w:p>
    <w:p>
      <w:pPr>
        <w:pStyle w:val="ListBullet"/>
        <w:ind w:left="340"/>
      </w:pPr>
      <w:r>
        <w:t>Infrastructure shall be maintained to prevent leakage, backflow, blocked drainage, or entry of contaminated floodwater.</w:t>
      </w:r>
    </w:p>
    <w:p>
      <w:pPr>
        <w:pStyle w:val="ListBullet"/>
        <w:ind w:left="340"/>
      </w:pPr>
      <w:r>
        <w:t>Internal water flow shall be managed to reduce cross-contamination from lower-health to higher-health units.</w:t>
      </w:r>
    </w:p>
    <w:p>
      <w:pPr>
        <w:pStyle w:val="ListBullet"/>
        <w:ind w:left="340"/>
      </w:pPr>
      <w:r>
        <w:t>Routine water quality monitoring, including dissolved oxygen and other key parameters relevant to fish health and stress reduction, shall be maintained.</w:t>
      </w:r>
    </w:p>
    <w:p>
      <w:pPr>
        <w:pStyle w:val="ListBullet"/>
        <w:ind w:left="340"/>
      </w:pPr>
      <w:r>
        <w:t>Adequate aeration and water supply shall be maintained to support stocking density and fish welfare.</w:t>
      </w:r>
    </w:p>
    <w:p>
      <w:pPr>
        <w:pStyle w:val="ListBullet"/>
        <w:ind w:left="340"/>
      </w:pPr>
      <w:r>
        <w:t>Effluent and filtered waste shall be managed or treated before discharge where this is necessary to reduce disease risk.</w:t>
      </w:r>
    </w:p>
    <w:p>
      <w:pPr>
        <w:pStyle w:val="Heading2"/>
      </w:pPr>
      <w:r>
        <w:t>11.8 Waste</w:t>
      </w:r>
    </w:p>
    <w:p>
      <w:pPr>
        <w:pStyle w:val="ListBullet"/>
        <w:ind w:left="340"/>
      </w:pPr>
      <w:r>
        <w:t>Waste-related biosecurity risks shall be assessed annually.</w:t>
      </w:r>
    </w:p>
    <w:p>
      <w:pPr>
        <w:pStyle w:val="ListBullet"/>
        <w:ind w:left="340"/>
      </w:pPr>
      <w:r>
        <w:t>Dead fish shall be removed and disposed of safely and promptly.</w:t>
      </w:r>
    </w:p>
    <w:p>
      <w:pPr>
        <w:pStyle w:val="ListBullet"/>
        <w:ind w:left="340"/>
      </w:pPr>
      <w:r>
        <w:t>Sludge, wastewater, disposable PPE, and cleaning residues shall be handled in a way that minimizes pathogen spread.</w:t>
      </w:r>
    </w:p>
    <w:p>
      <w:pPr>
        <w:pStyle w:val="ListBullet"/>
        <w:ind w:left="340"/>
      </w:pPr>
      <w:r>
        <w:t>Designated waste collection and disposal procedures shall be maintained.</w:t>
      </w:r>
    </w:p>
    <w:p>
      <w:pPr>
        <w:pStyle w:val="ListBullet"/>
        <w:ind w:left="340"/>
      </w:pPr>
      <w:r>
        <w:t>Approved off-site disposal channels shall be used where necessary, especially for large mortality events.</w:t>
      </w:r>
    </w:p>
    <w:p>
      <w:pPr>
        <w:pStyle w:val="Heading2"/>
      </w:pPr>
      <w:r>
        <w:t>11.9 Feed</w:t>
      </w:r>
    </w:p>
    <w:p>
      <w:pPr>
        <w:pStyle w:val="ListBullet"/>
        <w:ind w:left="340"/>
      </w:pPr>
      <w:r>
        <w:t>Only approved commercial manufactured feeds shall be used within the biosecure zone unless otherwise authorized following risk assessment.</w:t>
      </w:r>
    </w:p>
    <w:p>
      <w:pPr>
        <w:pStyle w:val="ListBullet"/>
        <w:ind w:left="340"/>
      </w:pPr>
      <w:r>
        <w:t>Live, fresh, or frozen feeds shall not be used in the biosecure zone unless specifically approved after biosecurity review.</w:t>
      </w:r>
    </w:p>
    <w:p>
      <w:pPr>
        <w:pStyle w:val="ListBullet"/>
        <w:ind w:left="340"/>
      </w:pPr>
      <w:r>
        <w:t>Feed shall be stored in a clean, dry, designated, pest-protected area, off the floor and away from walls where possible.</w:t>
      </w:r>
    </w:p>
    <w:p>
      <w:pPr>
        <w:pStyle w:val="ListBullet"/>
        <w:ind w:left="340"/>
      </w:pPr>
      <w:r>
        <w:t>Opened feed shall be stored in closed, labeled containers.</w:t>
      </w:r>
    </w:p>
    <w:p>
      <w:pPr>
        <w:pStyle w:val="ListBullet"/>
        <w:ind w:left="340"/>
      </w:pPr>
      <w:r>
        <w:t>Changes in feed source or type shall require prior consultation with the responsible scientist and management.</w:t>
      </w:r>
    </w:p>
    <w:p>
      <w:pPr>
        <w:pStyle w:val="ListBullet"/>
        <w:ind w:left="340"/>
      </w:pPr>
      <w:r>
        <w:t>Feeding rates shall be determined based on approved husbandry guidance and biomass estimates.</w:t>
      </w:r>
    </w:p>
    <w:p>
      <w:pPr>
        <w:pStyle w:val="Heading2"/>
      </w:pPr>
      <w:r>
        <w:t>11.10 Health monitoring and disease incident response</w:t>
      </w:r>
    </w:p>
    <w:p>
      <w:pPr>
        <w:pStyle w:val="ListBullet"/>
        <w:ind w:left="340"/>
      </w:pPr>
      <w:r>
        <w:t>Fish in all units shall be observed daily for abnormal behavior, feeding response, morbidity, lesions, and mortality.</w:t>
      </w:r>
    </w:p>
    <w:p>
      <w:pPr>
        <w:pStyle w:val="ListBullet"/>
        <w:ind w:left="340"/>
      </w:pPr>
      <w:r>
        <w:t>Mortality and clinical observations shall be recorded systematically.</w:t>
      </w:r>
    </w:p>
    <w:p>
      <w:pPr>
        <w:pStyle w:val="ListBullet"/>
        <w:ind w:left="340"/>
      </w:pPr>
      <w:r>
        <w:t>Routine fish health surveillance and laboratory testing shall be conducted according to the ARC health program and relevant disease risks.</w:t>
      </w:r>
    </w:p>
    <w:p>
      <w:pPr>
        <w:pStyle w:val="ListBullet"/>
        <w:ind w:left="340"/>
      </w:pPr>
      <w:r>
        <w:t>Access to competent aquatic animal diagnostic services shall be maintained.</w:t>
      </w:r>
    </w:p>
    <w:p>
      <w:pPr>
        <w:pStyle w:val="ListBullet"/>
        <w:ind w:left="340"/>
      </w:pPr>
      <w:r>
        <w:t>Any suspicion of significant infectious disease, unusual mortality, or notifiable disease shall trigger the disease incident SOP and prompt notification to the relevant authority where required.</w:t>
      </w:r>
    </w:p>
    <w:p>
      <w:pPr>
        <w:pStyle w:val="ListBullet"/>
        <w:ind w:left="340"/>
      </w:pPr>
      <w:r>
        <w:t>Where disease is suspected, the affected unit shall be isolated as far as practical, with intensified movement control, dedicated equipment, and additional disinfection until diagnosis and risk status are clarified.</w:t>
      </w:r>
    </w:p>
    <w:p>
      <w:pPr>
        <w:pStyle w:val="Heading2"/>
      </w:pPr>
      <w:r>
        <w:t>11.11 Emergency response and contingency planning</w:t>
      </w:r>
    </w:p>
    <w:p>
      <w:pPr>
        <w:pStyle w:val="ListBullet"/>
        <w:ind w:left="340"/>
      </w:pPr>
      <w:r>
        <w:t>ARC shall maintain an emergency response plan for significant disease events.</w:t>
      </w:r>
    </w:p>
    <w:p>
      <w:pPr>
        <w:pStyle w:val="ListBullet"/>
        <w:ind w:left="340"/>
      </w:pPr>
      <w:r>
        <w:t>The emergency response plan shall include clear lines of authority and decision-making, internal and external notification procedures, movement restrictions for fish, personnel, equipment, and vehicles, isolation of affected areas, emergency sampling and diagnostic submission, procedures for humane harvest, depopulation, or containment where required, safe disposal of mortalities and contaminated waste, emergency cleaning, disinfection, and fallowing procedures where appropriate, communication with regulators and partners, and post-incident review with corrective action.</w:t>
      </w:r>
    </w:p>
    <w:p>
      <w:pPr>
        <w:pStyle w:val="Heading1"/>
      </w:pPr>
      <w:r>
        <w:t>12. Biosecurity risk analysis</w:t>
      </w:r>
    </w:p>
    <w:p>
      <w:pPr/>
      <w:r>
        <w:t>Biosecurity risk analysis is used to identify the threats most likely to affect fish health, breeding continuity, dissemination, and facility productivity at ARC. The highest risks should receive the greatest management attention so that investments in biosecurity deliver the greatest practical benefit.</w:t>
      </w:r>
    </w:p>
    <w:p>
      <w:pPr>
        <w:pStyle w:val="Heading2"/>
      </w:pPr>
      <w:r>
        <w:t>12.1 Hazard identification</w:t>
      </w:r>
    </w:p>
    <w:p>
      <w:pPr/>
      <w:r>
        <w:t>Hazard identification is the process of identifying pathogens or disease conditions that could negatively affect fish health, breeding continuity, dissemination, or market confidence at ARC. Hazards may include endemic pathogens, transboundary pathogens, emerging diseases, opportunistic infections associated with stress, and unknown disease syndromes.</w:t>
      </w:r>
    </w:p>
    <w:p>
      <w:pPr>
        <w:pStyle w:val="Heading2"/>
      </w:pPr>
      <w:r>
        <w:t>12.2 Risk assessment</w:t>
      </w:r>
    </w:p>
    <w:p>
      <w:pPr/>
      <w:r>
        <w:t>Risk assessment considers both the likelihood that a hazard will enter, spread within, or be released from ARC, and the consequence if that event occurs.</w:t>
      </w:r>
    </w:p>
    <w:p>
      <w:pPr>
        <w:pStyle w:val="Heading2"/>
      </w:pPr>
      <w:r>
        <w:t>12.3 Risk estimation</w:t>
      </w:r>
    </w:p>
    <w:p>
      <w:pPr/>
      <w:r>
        <w:t>Risk is estimated by combining likelihood and consequence using a 5 × 5 matrix. The resulting score supports prioritization of management actions.</w:t>
      </w:r>
    </w:p>
    <w:p>
      <w:pPr>
        <w:pStyle w:val="Heading2"/>
      </w:pPr>
      <w:r>
        <w:t>12.4 Risk management</w:t>
      </w:r>
    </w:p>
    <w:p>
      <w:pPr/>
      <w:r>
        <w:t>Risk management measures may reduce likelihood, consequence, or both. Measures should be selected based on practicality, effectiveness, reliability, and cost.</w:t>
      </w:r>
    </w:p>
    <w:p>
      <w:pPr>
        <w:pStyle w:val="Heading2"/>
      </w:pPr>
      <w:r>
        <w:t>12.5 Risk evaluation and documentation</w:t>
      </w:r>
    </w:p>
    <w:p>
      <w:pPr/>
      <w:r>
        <w:t>All medium, high, and extreme risks shall be considered unacceptable until mitigated to an acceptable level. Risk analyses, mitigation measures, and reviews shall be documented and updated during audits or when conditions change.</w:t>
      </w:r>
    </w:p>
    <w:p>
      <w:pPr>
        <w:pStyle w:val="Heading3"/>
      </w:pPr>
      <w:r>
        <w:t>Likelihood rating scale</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DCE6F1"/>
            <w:tcMar>
              <w:top w:w="80" w:type="dxa"/>
              <w:start w:w="100" w:type="dxa"/>
              <w:bottom w:w="80" w:type="dxa"/>
              <w:end w:w="100" w:type="dxa"/>
            </w:tcMar>
          </w:tcPr>
          <w:p>
            <w:r>
              <w:t>Rating</w:t>
            </w:r>
          </w:p>
        </w:tc>
        <w:tc>
          <w:tcPr>
            <w:tcW w:type="dxa" w:w="3211"/>
            <w:shd w:fill="DCE6F1"/>
            <w:tcMar>
              <w:top w:w="80" w:type="dxa"/>
              <w:start w:w="100" w:type="dxa"/>
              <w:bottom w:w="80" w:type="dxa"/>
              <w:end w:w="100" w:type="dxa"/>
            </w:tcMar>
          </w:tcPr>
          <w:p>
            <w:r>
              <w:t>Descriptor</w:t>
            </w:r>
          </w:p>
        </w:tc>
        <w:tc>
          <w:tcPr>
            <w:tcW w:type="dxa" w:w="3211"/>
            <w:shd w:fill="DCE6F1"/>
            <w:tcMar>
              <w:top w:w="80" w:type="dxa"/>
              <w:start w:w="100" w:type="dxa"/>
              <w:bottom w:w="80" w:type="dxa"/>
              <w:end w:w="100" w:type="dxa"/>
            </w:tcMar>
          </w:tcPr>
          <w:p>
            <w:r>
              <w:t>Description</w:t>
            </w:r>
          </w:p>
        </w:tc>
      </w:tr>
      <w:tr>
        <w:tc>
          <w:tcPr>
            <w:tcW w:type="dxa" w:w="3211"/>
            <w:tcMar>
              <w:top w:w="80" w:type="dxa"/>
              <w:start w:w="100" w:type="dxa"/>
              <w:bottom w:w="80" w:type="dxa"/>
              <w:end w:w="100" w:type="dxa"/>
            </w:tcMar>
          </w:tcPr>
          <w:p>
            <w:r>
              <w:t>1</w:t>
            </w:r>
          </w:p>
        </w:tc>
        <w:tc>
          <w:tcPr>
            <w:tcW w:type="dxa" w:w="3211"/>
            <w:tcMar>
              <w:top w:w="80" w:type="dxa"/>
              <w:start w:w="100" w:type="dxa"/>
              <w:bottom w:w="80" w:type="dxa"/>
              <w:end w:w="100" w:type="dxa"/>
            </w:tcMar>
          </w:tcPr>
          <w:p>
            <w:r>
              <w:t>Remote</w:t>
            </w:r>
          </w:p>
        </w:tc>
        <w:tc>
          <w:tcPr>
            <w:tcW w:type="dxa" w:w="3211"/>
            <w:tcMar>
              <w:top w:w="80" w:type="dxa"/>
              <w:start w:w="100" w:type="dxa"/>
              <w:bottom w:w="80" w:type="dxa"/>
              <w:end w:w="100" w:type="dxa"/>
            </w:tcMar>
          </w:tcPr>
          <w:p>
            <w:r>
              <w:t>Rare and exceptional; not expected under normal conditions</w:t>
            </w:r>
          </w:p>
        </w:tc>
      </w:tr>
      <w:tr>
        <w:tc>
          <w:tcPr>
            <w:tcW w:type="dxa" w:w="3211"/>
            <w:tcMar>
              <w:top w:w="80" w:type="dxa"/>
              <w:start w:w="100" w:type="dxa"/>
              <w:bottom w:w="80" w:type="dxa"/>
              <w:end w:w="100" w:type="dxa"/>
            </w:tcMar>
          </w:tcPr>
          <w:p>
            <w:r>
              <w:t>2</w:t>
            </w:r>
          </w:p>
        </w:tc>
        <w:tc>
          <w:tcPr>
            <w:tcW w:type="dxa" w:w="3211"/>
            <w:tcMar>
              <w:top w:w="80" w:type="dxa"/>
              <w:start w:w="100" w:type="dxa"/>
              <w:bottom w:w="80" w:type="dxa"/>
              <w:end w:w="100" w:type="dxa"/>
            </w:tcMar>
          </w:tcPr>
          <w:p>
            <w:r>
              <w:t>Unlikely</w:t>
            </w:r>
          </w:p>
        </w:tc>
        <w:tc>
          <w:tcPr>
            <w:tcW w:type="dxa" w:w="3211"/>
            <w:tcMar>
              <w:top w:w="80" w:type="dxa"/>
              <w:start w:w="100" w:type="dxa"/>
              <w:bottom w:w="80" w:type="dxa"/>
              <w:end w:w="100" w:type="dxa"/>
            </w:tcMar>
          </w:tcPr>
          <w:p>
            <w:r>
              <w:t>Could occur, but not expected in most years</w:t>
            </w:r>
          </w:p>
        </w:tc>
      </w:tr>
      <w:tr>
        <w:tc>
          <w:tcPr>
            <w:tcW w:type="dxa" w:w="3211"/>
            <w:tcMar>
              <w:top w:w="80" w:type="dxa"/>
              <w:start w:w="100" w:type="dxa"/>
              <w:bottom w:w="80" w:type="dxa"/>
              <w:end w:w="100" w:type="dxa"/>
            </w:tcMar>
          </w:tcPr>
          <w:p>
            <w:r>
              <w:t>3</w:t>
            </w:r>
          </w:p>
        </w:tc>
        <w:tc>
          <w:tcPr>
            <w:tcW w:type="dxa" w:w="3211"/>
            <w:tcMar>
              <w:top w:w="80" w:type="dxa"/>
              <w:start w:w="100" w:type="dxa"/>
              <w:bottom w:w="80" w:type="dxa"/>
              <w:end w:w="100" w:type="dxa"/>
            </w:tcMar>
          </w:tcPr>
          <w:p>
            <w:r>
              <w:t>Possible</w:t>
            </w:r>
          </w:p>
        </w:tc>
        <w:tc>
          <w:tcPr>
            <w:tcW w:type="dxa" w:w="3211"/>
            <w:tcMar>
              <w:top w:w="80" w:type="dxa"/>
              <w:start w:w="100" w:type="dxa"/>
              <w:bottom w:w="80" w:type="dxa"/>
              <w:end w:w="100" w:type="dxa"/>
            </w:tcMar>
          </w:tcPr>
          <w:p>
            <w:r>
              <w:t>Could occur under existing conditions</w:t>
            </w:r>
          </w:p>
        </w:tc>
      </w:tr>
      <w:tr>
        <w:tc>
          <w:tcPr>
            <w:tcW w:type="dxa" w:w="3211"/>
            <w:tcMar>
              <w:top w:w="80" w:type="dxa"/>
              <w:start w:w="100" w:type="dxa"/>
              <w:bottom w:w="80" w:type="dxa"/>
              <w:end w:w="100" w:type="dxa"/>
            </w:tcMar>
          </w:tcPr>
          <w:p>
            <w:r>
              <w:t>4</w:t>
            </w:r>
          </w:p>
        </w:tc>
        <w:tc>
          <w:tcPr>
            <w:tcW w:type="dxa" w:w="3211"/>
            <w:tcMar>
              <w:top w:w="80" w:type="dxa"/>
              <w:start w:w="100" w:type="dxa"/>
              <w:bottom w:w="80" w:type="dxa"/>
              <w:end w:w="100" w:type="dxa"/>
            </w:tcMar>
          </w:tcPr>
          <w:p>
            <w:r>
              <w:t>Likely</w:t>
            </w:r>
          </w:p>
        </w:tc>
        <w:tc>
          <w:tcPr>
            <w:tcW w:type="dxa" w:w="3211"/>
            <w:tcMar>
              <w:top w:w="80" w:type="dxa"/>
              <w:start w:w="100" w:type="dxa"/>
              <w:bottom w:w="80" w:type="dxa"/>
              <w:end w:w="100" w:type="dxa"/>
            </w:tcMar>
          </w:tcPr>
          <w:p>
            <w:r>
              <w:t>Expected to occur periodically unless controlled</w:t>
            </w:r>
          </w:p>
        </w:tc>
      </w:tr>
      <w:tr>
        <w:tc>
          <w:tcPr>
            <w:tcW w:type="dxa" w:w="3211"/>
            <w:tcMar>
              <w:top w:w="80" w:type="dxa"/>
              <w:start w:w="100" w:type="dxa"/>
              <w:bottom w:w="80" w:type="dxa"/>
              <w:end w:w="100" w:type="dxa"/>
            </w:tcMar>
          </w:tcPr>
          <w:p>
            <w:r>
              <w:t>5</w:t>
            </w:r>
          </w:p>
        </w:tc>
        <w:tc>
          <w:tcPr>
            <w:tcW w:type="dxa" w:w="3211"/>
            <w:tcMar>
              <w:top w:w="80" w:type="dxa"/>
              <w:start w:w="100" w:type="dxa"/>
              <w:bottom w:w="80" w:type="dxa"/>
              <w:end w:w="100" w:type="dxa"/>
            </w:tcMar>
          </w:tcPr>
          <w:p>
            <w:r>
              <w:t>Almost certain</w:t>
            </w:r>
          </w:p>
        </w:tc>
        <w:tc>
          <w:tcPr>
            <w:tcW w:type="dxa" w:w="3211"/>
            <w:tcMar>
              <w:top w:w="80" w:type="dxa"/>
              <w:start w:w="100" w:type="dxa"/>
              <w:bottom w:w="80" w:type="dxa"/>
              <w:end w:w="100" w:type="dxa"/>
            </w:tcMar>
          </w:tcPr>
          <w:p>
            <w:r>
              <w:t>Expected to occur frequently or repeatedly</w:t>
            </w:r>
          </w:p>
        </w:tc>
      </w:tr>
    </w:tbl>
    <w:p>
      <w:pPr>
        <w:pStyle w:val="Heading3"/>
      </w:pPr>
      <w:r>
        <w:t>Consequence rating scale</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DCE6F1"/>
            <w:tcMar>
              <w:top w:w="80" w:type="dxa"/>
              <w:start w:w="100" w:type="dxa"/>
              <w:bottom w:w="80" w:type="dxa"/>
              <w:end w:w="100" w:type="dxa"/>
            </w:tcMar>
          </w:tcPr>
          <w:p>
            <w:r>
              <w:t>Rating</w:t>
            </w:r>
          </w:p>
        </w:tc>
        <w:tc>
          <w:tcPr>
            <w:tcW w:type="dxa" w:w="3211"/>
            <w:shd w:fill="DCE6F1"/>
            <w:tcMar>
              <w:top w:w="80" w:type="dxa"/>
              <w:start w:w="100" w:type="dxa"/>
              <w:bottom w:w="80" w:type="dxa"/>
              <w:end w:w="100" w:type="dxa"/>
            </w:tcMar>
          </w:tcPr>
          <w:p>
            <w:r>
              <w:t>Descriptor</w:t>
            </w:r>
          </w:p>
        </w:tc>
        <w:tc>
          <w:tcPr>
            <w:tcW w:type="dxa" w:w="3211"/>
            <w:shd w:fill="DCE6F1"/>
            <w:tcMar>
              <w:top w:w="80" w:type="dxa"/>
              <w:start w:w="100" w:type="dxa"/>
              <w:bottom w:w="80" w:type="dxa"/>
              <w:end w:w="100" w:type="dxa"/>
            </w:tcMar>
          </w:tcPr>
          <w:p>
            <w:r>
              <w:t>Description</w:t>
            </w:r>
          </w:p>
        </w:tc>
      </w:tr>
      <w:tr>
        <w:tc>
          <w:tcPr>
            <w:tcW w:type="dxa" w:w="3211"/>
            <w:tcMar>
              <w:top w:w="80" w:type="dxa"/>
              <w:start w:w="100" w:type="dxa"/>
              <w:bottom w:w="80" w:type="dxa"/>
              <w:end w:w="100" w:type="dxa"/>
            </w:tcMar>
          </w:tcPr>
          <w:p>
            <w:r>
              <w:t>1</w:t>
            </w:r>
          </w:p>
        </w:tc>
        <w:tc>
          <w:tcPr>
            <w:tcW w:type="dxa" w:w="3211"/>
            <w:tcMar>
              <w:top w:w="80" w:type="dxa"/>
              <w:start w:w="100" w:type="dxa"/>
              <w:bottom w:w="80" w:type="dxa"/>
              <w:end w:w="100" w:type="dxa"/>
            </w:tcMar>
          </w:tcPr>
          <w:p>
            <w:r>
              <w:t>Insignificant</w:t>
            </w:r>
          </w:p>
        </w:tc>
        <w:tc>
          <w:tcPr>
            <w:tcW w:type="dxa" w:w="3211"/>
            <w:tcMar>
              <w:top w:w="80" w:type="dxa"/>
              <w:start w:w="100" w:type="dxa"/>
              <w:bottom w:w="80" w:type="dxa"/>
              <w:end w:w="100" w:type="dxa"/>
            </w:tcMar>
          </w:tcPr>
          <w:p>
            <w:r>
              <w:t>No meaningful effect on fish health, production, or dissemination</w:t>
            </w:r>
          </w:p>
        </w:tc>
      </w:tr>
      <w:tr>
        <w:tc>
          <w:tcPr>
            <w:tcW w:type="dxa" w:w="3211"/>
            <w:tcMar>
              <w:top w:w="80" w:type="dxa"/>
              <w:start w:w="100" w:type="dxa"/>
              <w:bottom w:w="80" w:type="dxa"/>
              <w:end w:w="100" w:type="dxa"/>
            </w:tcMar>
          </w:tcPr>
          <w:p>
            <w:r>
              <w:t>2</w:t>
            </w:r>
          </w:p>
        </w:tc>
        <w:tc>
          <w:tcPr>
            <w:tcW w:type="dxa" w:w="3211"/>
            <w:tcMar>
              <w:top w:w="80" w:type="dxa"/>
              <w:start w:w="100" w:type="dxa"/>
              <w:bottom w:w="80" w:type="dxa"/>
              <w:end w:w="100" w:type="dxa"/>
            </w:tcMar>
          </w:tcPr>
          <w:p>
            <w:r>
              <w:t>Minor</w:t>
            </w:r>
          </w:p>
        </w:tc>
        <w:tc>
          <w:tcPr>
            <w:tcW w:type="dxa" w:w="3211"/>
            <w:tcMar>
              <w:top w:w="80" w:type="dxa"/>
              <w:start w:w="100" w:type="dxa"/>
              <w:bottom w:w="80" w:type="dxa"/>
              <w:end w:w="100" w:type="dxa"/>
            </w:tcMar>
          </w:tcPr>
          <w:p>
            <w:r>
              <w:t>Limited health or production effect; localized and manageable</w:t>
            </w:r>
          </w:p>
        </w:tc>
      </w:tr>
      <w:tr>
        <w:tc>
          <w:tcPr>
            <w:tcW w:type="dxa" w:w="3211"/>
            <w:tcMar>
              <w:top w:w="80" w:type="dxa"/>
              <w:start w:w="100" w:type="dxa"/>
              <w:bottom w:w="80" w:type="dxa"/>
              <w:end w:w="100" w:type="dxa"/>
            </w:tcMar>
          </w:tcPr>
          <w:p>
            <w:r>
              <w:t>3</w:t>
            </w:r>
          </w:p>
        </w:tc>
        <w:tc>
          <w:tcPr>
            <w:tcW w:type="dxa" w:w="3211"/>
            <w:tcMar>
              <w:top w:w="80" w:type="dxa"/>
              <w:start w:w="100" w:type="dxa"/>
              <w:bottom w:w="80" w:type="dxa"/>
              <w:end w:w="100" w:type="dxa"/>
            </w:tcMar>
          </w:tcPr>
          <w:p>
            <w:r>
              <w:t>Moderate</w:t>
            </w:r>
          </w:p>
        </w:tc>
        <w:tc>
          <w:tcPr>
            <w:tcW w:type="dxa" w:w="3211"/>
            <w:tcMar>
              <w:top w:w="80" w:type="dxa"/>
              <w:start w:w="100" w:type="dxa"/>
              <w:bottom w:w="80" w:type="dxa"/>
              <w:end w:w="100" w:type="dxa"/>
            </w:tcMar>
          </w:tcPr>
          <w:p>
            <w:r>
              <w:t>Noticeable production loss, increased mortality, delay in breeding cycle, or limited family loss</w:t>
            </w:r>
          </w:p>
        </w:tc>
      </w:tr>
      <w:tr>
        <w:tc>
          <w:tcPr>
            <w:tcW w:type="dxa" w:w="3211"/>
            <w:tcMar>
              <w:top w:w="80" w:type="dxa"/>
              <w:start w:w="100" w:type="dxa"/>
              <w:bottom w:w="80" w:type="dxa"/>
              <w:end w:w="100" w:type="dxa"/>
            </w:tcMar>
          </w:tcPr>
          <w:p>
            <w:r>
              <w:t>4</w:t>
            </w:r>
          </w:p>
        </w:tc>
        <w:tc>
          <w:tcPr>
            <w:tcW w:type="dxa" w:w="3211"/>
            <w:tcMar>
              <w:top w:w="80" w:type="dxa"/>
              <w:start w:w="100" w:type="dxa"/>
              <w:bottom w:w="80" w:type="dxa"/>
              <w:end w:w="100" w:type="dxa"/>
            </w:tcMar>
          </w:tcPr>
          <w:p>
            <w:r>
              <w:t>Major</w:t>
            </w:r>
          </w:p>
        </w:tc>
        <w:tc>
          <w:tcPr>
            <w:tcW w:type="dxa" w:w="3211"/>
            <w:tcMar>
              <w:top w:w="80" w:type="dxa"/>
              <w:start w:w="100" w:type="dxa"/>
              <w:bottom w:w="80" w:type="dxa"/>
              <w:end w:w="100" w:type="dxa"/>
            </w:tcMar>
          </w:tcPr>
          <w:p>
            <w:r>
              <w:t>Serious impact on broodstock, family production, dissemination, or facility operations</w:t>
            </w:r>
          </w:p>
        </w:tc>
      </w:tr>
      <w:tr>
        <w:tc>
          <w:tcPr>
            <w:tcW w:type="dxa" w:w="3211"/>
            <w:tcMar>
              <w:top w:w="80" w:type="dxa"/>
              <w:start w:w="100" w:type="dxa"/>
              <w:bottom w:w="80" w:type="dxa"/>
              <w:end w:w="100" w:type="dxa"/>
            </w:tcMar>
          </w:tcPr>
          <w:p>
            <w:r>
              <w:t>5</w:t>
            </w:r>
          </w:p>
        </w:tc>
        <w:tc>
          <w:tcPr>
            <w:tcW w:type="dxa" w:w="3211"/>
            <w:tcMar>
              <w:top w:w="80" w:type="dxa"/>
              <w:start w:w="100" w:type="dxa"/>
              <w:bottom w:w="80" w:type="dxa"/>
              <w:end w:w="100" w:type="dxa"/>
            </w:tcMar>
          </w:tcPr>
          <w:p>
            <w:r>
              <w:t>Catastrophic</w:t>
            </w:r>
          </w:p>
        </w:tc>
        <w:tc>
          <w:tcPr>
            <w:tcW w:type="dxa" w:w="3211"/>
            <w:tcMar>
              <w:top w:w="80" w:type="dxa"/>
              <w:start w:w="100" w:type="dxa"/>
              <w:bottom w:w="80" w:type="dxa"/>
              <w:end w:w="100" w:type="dxa"/>
            </w:tcMar>
          </w:tcPr>
          <w:p>
            <w:r>
              <w:t>Severe or widespread loss requiring depopulation, prolonged shutdown, or major dissemination failure</w:t>
            </w:r>
          </w:p>
        </w:tc>
      </w:tr>
    </w:tbl>
    <w:p>
      <w:pPr>
        <w:pStyle w:val="Heading3"/>
      </w:pPr>
      <w:r>
        <w:t>Risk score interpretation</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DCE6F1"/>
            <w:tcMar>
              <w:top w:w="80" w:type="dxa"/>
              <w:start w:w="100" w:type="dxa"/>
              <w:bottom w:w="80" w:type="dxa"/>
              <w:end w:w="100" w:type="dxa"/>
            </w:tcMar>
          </w:tcPr>
          <w:p>
            <w:r>
              <w:t>Risk score</w:t>
            </w:r>
          </w:p>
        </w:tc>
        <w:tc>
          <w:tcPr>
            <w:tcW w:type="dxa" w:w="3211"/>
            <w:shd w:fill="DCE6F1"/>
            <w:tcMar>
              <w:top w:w="80" w:type="dxa"/>
              <w:start w:w="100" w:type="dxa"/>
              <w:bottom w:w="80" w:type="dxa"/>
              <w:end w:w="100" w:type="dxa"/>
            </w:tcMar>
          </w:tcPr>
          <w:p>
            <w:r>
              <w:t>Level</w:t>
            </w:r>
          </w:p>
        </w:tc>
        <w:tc>
          <w:tcPr>
            <w:tcW w:type="dxa" w:w="3211"/>
            <w:shd w:fill="DCE6F1"/>
            <w:tcMar>
              <w:top w:w="80" w:type="dxa"/>
              <w:start w:w="100" w:type="dxa"/>
              <w:bottom w:w="80" w:type="dxa"/>
              <w:end w:w="100" w:type="dxa"/>
            </w:tcMar>
          </w:tcPr>
          <w:p>
            <w:r>
              <w:t>Management response</w:t>
            </w:r>
          </w:p>
        </w:tc>
      </w:tr>
      <w:tr>
        <w:tc>
          <w:tcPr>
            <w:tcW w:type="dxa" w:w="3211"/>
            <w:tcMar>
              <w:top w:w="80" w:type="dxa"/>
              <w:start w:w="100" w:type="dxa"/>
              <w:bottom w:w="80" w:type="dxa"/>
              <w:end w:w="100" w:type="dxa"/>
            </w:tcMar>
          </w:tcPr>
          <w:p>
            <w:r>
              <w:t>1–2</w:t>
            </w:r>
          </w:p>
        </w:tc>
        <w:tc>
          <w:tcPr>
            <w:tcW w:type="dxa" w:w="3211"/>
            <w:tcMar>
              <w:top w:w="80" w:type="dxa"/>
              <w:start w:w="100" w:type="dxa"/>
              <w:bottom w:w="80" w:type="dxa"/>
              <w:end w:w="100" w:type="dxa"/>
            </w:tcMar>
          </w:tcPr>
          <w:p>
            <w:r>
              <w:t>Negligible</w:t>
            </w:r>
          </w:p>
        </w:tc>
        <w:tc>
          <w:tcPr>
            <w:tcW w:type="dxa" w:w="3211"/>
            <w:tcMar>
              <w:top w:w="80" w:type="dxa"/>
              <w:start w:w="100" w:type="dxa"/>
              <w:bottom w:w="80" w:type="dxa"/>
              <w:end w:w="100" w:type="dxa"/>
            </w:tcMar>
          </w:tcPr>
          <w:p>
            <w:r>
              <w:t>Acceptable; maintain routine controls</w:t>
            </w:r>
          </w:p>
        </w:tc>
      </w:tr>
      <w:tr>
        <w:tc>
          <w:tcPr>
            <w:tcW w:type="dxa" w:w="3211"/>
            <w:tcMar>
              <w:top w:w="80" w:type="dxa"/>
              <w:start w:w="100" w:type="dxa"/>
              <w:bottom w:w="80" w:type="dxa"/>
              <w:end w:w="100" w:type="dxa"/>
            </w:tcMar>
          </w:tcPr>
          <w:p>
            <w:r>
              <w:t>3–5</w:t>
            </w:r>
          </w:p>
        </w:tc>
        <w:tc>
          <w:tcPr>
            <w:tcW w:type="dxa" w:w="3211"/>
            <w:tcMar>
              <w:top w:w="80" w:type="dxa"/>
              <w:start w:w="100" w:type="dxa"/>
              <w:bottom w:w="80" w:type="dxa"/>
              <w:end w:w="100" w:type="dxa"/>
            </w:tcMar>
          </w:tcPr>
          <w:p>
            <w:r>
              <w:t>Low</w:t>
            </w:r>
          </w:p>
        </w:tc>
        <w:tc>
          <w:tcPr>
            <w:tcW w:type="dxa" w:w="3211"/>
            <w:tcMar>
              <w:top w:w="80" w:type="dxa"/>
              <w:start w:w="100" w:type="dxa"/>
              <w:bottom w:w="80" w:type="dxa"/>
              <w:end w:w="100" w:type="dxa"/>
            </w:tcMar>
          </w:tcPr>
          <w:p>
            <w:r>
              <w:t>Acceptable with monitoring</w:t>
            </w:r>
          </w:p>
        </w:tc>
      </w:tr>
      <w:tr>
        <w:tc>
          <w:tcPr>
            <w:tcW w:type="dxa" w:w="3211"/>
            <w:tcMar>
              <w:top w:w="80" w:type="dxa"/>
              <w:start w:w="100" w:type="dxa"/>
              <w:bottom w:w="80" w:type="dxa"/>
              <w:end w:w="100" w:type="dxa"/>
            </w:tcMar>
          </w:tcPr>
          <w:p>
            <w:r>
              <w:t>6–10</w:t>
            </w:r>
          </w:p>
        </w:tc>
        <w:tc>
          <w:tcPr>
            <w:tcW w:type="dxa" w:w="3211"/>
            <w:tcMar>
              <w:top w:w="80" w:type="dxa"/>
              <w:start w:w="100" w:type="dxa"/>
              <w:bottom w:w="80" w:type="dxa"/>
              <w:end w:w="100" w:type="dxa"/>
            </w:tcMar>
          </w:tcPr>
          <w:p>
            <w:r>
              <w:t>Medium</w:t>
            </w:r>
          </w:p>
        </w:tc>
        <w:tc>
          <w:tcPr>
            <w:tcW w:type="dxa" w:w="3211"/>
            <w:tcMar>
              <w:top w:w="80" w:type="dxa"/>
              <w:start w:w="100" w:type="dxa"/>
              <w:bottom w:w="80" w:type="dxa"/>
              <w:end w:w="100" w:type="dxa"/>
            </w:tcMar>
          </w:tcPr>
          <w:p>
            <w:r>
              <w:t>Additional management needed</w:t>
            </w:r>
          </w:p>
        </w:tc>
      </w:tr>
      <w:tr>
        <w:tc>
          <w:tcPr>
            <w:tcW w:type="dxa" w:w="3211"/>
            <w:tcMar>
              <w:top w:w="80" w:type="dxa"/>
              <w:start w:w="100" w:type="dxa"/>
              <w:bottom w:w="80" w:type="dxa"/>
              <w:end w:w="100" w:type="dxa"/>
            </w:tcMar>
          </w:tcPr>
          <w:p>
            <w:r>
              <w:t>12–15</w:t>
            </w:r>
          </w:p>
        </w:tc>
        <w:tc>
          <w:tcPr>
            <w:tcW w:type="dxa" w:w="3211"/>
            <w:tcMar>
              <w:top w:w="80" w:type="dxa"/>
              <w:start w:w="100" w:type="dxa"/>
              <w:bottom w:w="80" w:type="dxa"/>
              <w:end w:w="100" w:type="dxa"/>
            </w:tcMar>
          </w:tcPr>
          <w:p>
            <w:r>
              <w:t>High</w:t>
            </w:r>
          </w:p>
        </w:tc>
        <w:tc>
          <w:tcPr>
            <w:tcW w:type="dxa" w:w="3211"/>
            <w:tcMar>
              <w:top w:w="80" w:type="dxa"/>
              <w:start w:w="100" w:type="dxa"/>
              <w:bottom w:w="80" w:type="dxa"/>
              <w:end w:w="100" w:type="dxa"/>
            </w:tcMar>
          </w:tcPr>
          <w:p>
            <w:r>
              <w:t>Active intervention required</w:t>
            </w:r>
          </w:p>
        </w:tc>
      </w:tr>
      <w:tr>
        <w:tc>
          <w:tcPr>
            <w:tcW w:type="dxa" w:w="3211"/>
            <w:tcMar>
              <w:top w:w="80" w:type="dxa"/>
              <w:start w:w="100" w:type="dxa"/>
              <w:bottom w:w="80" w:type="dxa"/>
              <w:end w:w="100" w:type="dxa"/>
            </w:tcMar>
          </w:tcPr>
          <w:p>
            <w:r>
              <w:t>16–25</w:t>
            </w:r>
          </w:p>
        </w:tc>
        <w:tc>
          <w:tcPr>
            <w:tcW w:type="dxa" w:w="3211"/>
            <w:tcMar>
              <w:top w:w="80" w:type="dxa"/>
              <w:start w:w="100" w:type="dxa"/>
              <w:bottom w:w="80" w:type="dxa"/>
              <w:end w:w="100" w:type="dxa"/>
            </w:tcMar>
          </w:tcPr>
          <w:p>
            <w:r>
              <w:t>Extreme</w:t>
            </w:r>
          </w:p>
        </w:tc>
        <w:tc>
          <w:tcPr>
            <w:tcW w:type="dxa" w:w="3211"/>
            <w:tcMar>
              <w:top w:w="80" w:type="dxa"/>
              <w:start w:w="100" w:type="dxa"/>
              <w:bottom w:w="80" w:type="dxa"/>
              <w:end w:w="100" w:type="dxa"/>
            </w:tcMar>
          </w:tcPr>
          <w:p>
            <w:r>
              <w:t>Immediate action required</w:t>
            </w:r>
          </w:p>
        </w:tc>
      </w:tr>
    </w:tbl>
    <w:p>
      <w:r>
        <w:br w:type="page"/>
      </w:r>
    </w:p>
    <w:p>
      <w:pPr>
        <w:pStyle w:val="Heading1"/>
      </w:pPr>
      <w:r>
        <w:t>Appendix 1. Priority diseases and syndromes of concern for Nile tilapia at ARC</w:t>
      </w:r>
    </w:p>
    <w:p>
      <w:pPr/>
      <w:r>
        <w:t>This appendix is for operational awareness and does not replace diagnostic confirmation. Clinical signs are often non-specific, and co-infections may occur. Any unusual mortality, severe clinical presentation, or suspected notifiable or emerging disease must be escalated for investigation.</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fill="DCE6F1"/>
            <w:tcMar>
              <w:top w:w="80" w:type="dxa"/>
              <w:start w:w="100" w:type="dxa"/>
              <w:bottom w:w="80" w:type="dxa"/>
              <w:end w:w="100" w:type="dxa"/>
            </w:tcMar>
          </w:tcPr>
          <w:p>
            <w:r>
              <w:t>Type of infection</w:t>
            </w:r>
          </w:p>
        </w:tc>
        <w:tc>
          <w:tcPr>
            <w:tcW w:type="dxa" w:w="2408"/>
            <w:shd w:fill="DCE6F1"/>
            <w:tcMar>
              <w:top w:w="80" w:type="dxa"/>
              <w:start w:w="100" w:type="dxa"/>
              <w:bottom w:w="80" w:type="dxa"/>
              <w:end w:w="100" w:type="dxa"/>
            </w:tcMar>
          </w:tcPr>
          <w:p>
            <w:r>
              <w:t>Disease</w:t>
            </w:r>
          </w:p>
        </w:tc>
        <w:tc>
          <w:tcPr>
            <w:tcW w:type="dxa" w:w="2408"/>
            <w:shd w:fill="DCE6F1"/>
            <w:tcMar>
              <w:top w:w="80" w:type="dxa"/>
              <w:start w:w="100" w:type="dxa"/>
              <w:bottom w:w="80" w:type="dxa"/>
              <w:end w:w="100" w:type="dxa"/>
            </w:tcMar>
          </w:tcPr>
          <w:p>
            <w:r>
              <w:t>Representative clinical signs</w:t>
            </w:r>
          </w:p>
        </w:tc>
        <w:tc>
          <w:tcPr>
            <w:tcW w:type="dxa" w:w="2408"/>
            <w:shd w:fill="DCE6F1"/>
            <w:tcMar>
              <w:top w:w="80" w:type="dxa"/>
              <w:start w:w="100" w:type="dxa"/>
              <w:bottom w:w="80" w:type="dxa"/>
              <w:end w:w="100" w:type="dxa"/>
            </w:tcMar>
          </w:tcPr>
          <w:p>
            <w:r>
              <w:t>Causative agent</w:t>
            </w:r>
          </w:p>
        </w:tc>
      </w:tr>
      <w:tr>
        <w:tc>
          <w:tcPr>
            <w:tcW w:type="dxa" w:w="2408"/>
            <w:tcMar>
              <w:top w:w="80" w:type="dxa"/>
              <w:start w:w="100" w:type="dxa"/>
              <w:bottom w:w="80" w:type="dxa"/>
              <w:end w:w="100" w:type="dxa"/>
            </w:tcMar>
            <w:vAlign w:val="center"/>
          </w:tcPr>
          <w:p>
            <w:r>
              <w:t>Viral</w:t>
            </w:r>
          </w:p>
        </w:tc>
        <w:tc>
          <w:tcPr>
            <w:tcW w:type="dxa" w:w="2408"/>
            <w:tcMar>
              <w:top w:w="80" w:type="dxa"/>
              <w:start w:w="100" w:type="dxa"/>
              <w:bottom w:w="80" w:type="dxa"/>
              <w:end w:w="100" w:type="dxa"/>
            </w:tcMar>
            <w:vAlign w:val="center"/>
          </w:tcPr>
          <w:p>
            <w:r>
              <w:t>Tilapia Lake Virus (TiLV)</w:t>
            </w:r>
          </w:p>
        </w:tc>
        <w:tc>
          <w:tcPr>
            <w:tcW w:type="dxa" w:w="2408"/>
            <w:tcMar>
              <w:top w:w="80" w:type="dxa"/>
              <w:start w:w="100" w:type="dxa"/>
              <w:bottom w:w="80" w:type="dxa"/>
              <w:end w:w="100" w:type="dxa"/>
            </w:tcMar>
            <w:vAlign w:val="center"/>
          </w:tcPr>
          <w:p>
            <w:r>
              <w:t>Discoloration; loss of scales and skin erosion; hemorrhages; exophthalmia; abdominal swelling and scale protrusion</w:t>
            </w:r>
          </w:p>
        </w:tc>
        <w:tc>
          <w:tcPr>
            <w:tcW w:type="dxa" w:w="2408"/>
            <w:tcMar>
              <w:top w:w="80" w:type="dxa"/>
              <w:start w:w="100" w:type="dxa"/>
              <w:bottom w:w="80" w:type="dxa"/>
              <w:end w:w="100" w:type="dxa"/>
            </w:tcMar>
            <w:vAlign w:val="center"/>
          </w:tcPr>
          <w:p>
            <w:r>
              <w:t>Tilapinevirus</w:t>
            </w:r>
          </w:p>
        </w:tc>
      </w:tr>
      <w:tr>
        <w:tc>
          <w:tcPr>
            <w:tcW w:type="dxa" w:w="2408"/>
            <w:tcMar>
              <w:top w:w="80" w:type="dxa"/>
              <w:start w:w="100" w:type="dxa"/>
              <w:bottom w:w="80" w:type="dxa"/>
              <w:end w:w="100" w:type="dxa"/>
            </w:tcMar>
            <w:vAlign w:val="center"/>
          </w:tcPr>
          <w:p>
            <w:r>
              <w:t>Viral</w:t>
            </w:r>
          </w:p>
        </w:tc>
        <w:tc>
          <w:tcPr>
            <w:tcW w:type="dxa" w:w="2408"/>
            <w:tcMar>
              <w:top w:w="80" w:type="dxa"/>
              <w:start w:w="100" w:type="dxa"/>
              <w:bottom w:w="80" w:type="dxa"/>
              <w:end w:w="100" w:type="dxa"/>
            </w:tcMar>
            <w:vAlign w:val="center"/>
          </w:tcPr>
          <w:p>
            <w:r>
              <w:t>Tilapia Parvovirus (TiPV)</w:t>
            </w:r>
          </w:p>
        </w:tc>
        <w:tc>
          <w:tcPr>
            <w:tcW w:type="dxa" w:w="2408"/>
            <w:tcMar>
              <w:top w:w="80" w:type="dxa"/>
              <w:start w:w="100" w:type="dxa"/>
              <w:bottom w:w="80" w:type="dxa"/>
              <w:end w:w="100" w:type="dxa"/>
            </w:tcMar>
            <w:vAlign w:val="center"/>
          </w:tcPr>
          <w:p>
            <w:r>
              <w:t>Darting or corkscrew swimming; lethargy; anorexia; scale protrusion; body hemorrhages; exophthalmia; generalized anemia</w:t>
            </w:r>
          </w:p>
        </w:tc>
        <w:tc>
          <w:tcPr>
            <w:tcW w:type="dxa" w:w="2408"/>
            <w:tcMar>
              <w:top w:w="80" w:type="dxa"/>
              <w:start w:w="100" w:type="dxa"/>
              <w:bottom w:w="80" w:type="dxa"/>
              <w:end w:w="100" w:type="dxa"/>
            </w:tcMar>
            <w:vAlign w:val="center"/>
          </w:tcPr>
          <w:p>
            <w:r>
              <w:t>Parvovirus</w:t>
            </w:r>
          </w:p>
        </w:tc>
      </w:tr>
      <w:tr>
        <w:tc>
          <w:tcPr>
            <w:tcW w:type="dxa" w:w="2408"/>
            <w:tcMar>
              <w:top w:w="80" w:type="dxa"/>
              <w:start w:w="100" w:type="dxa"/>
              <w:bottom w:w="80" w:type="dxa"/>
              <w:end w:w="100" w:type="dxa"/>
            </w:tcMar>
            <w:vAlign w:val="center"/>
          </w:tcPr>
          <w:p>
            <w:r>
              <w:t>Viral</w:t>
            </w:r>
          </w:p>
        </w:tc>
        <w:tc>
          <w:tcPr>
            <w:tcW w:type="dxa" w:w="2408"/>
            <w:tcMar>
              <w:top w:w="80" w:type="dxa"/>
              <w:start w:w="100" w:type="dxa"/>
              <w:bottom w:w="80" w:type="dxa"/>
              <w:end w:w="100" w:type="dxa"/>
            </w:tcMar>
            <w:vAlign w:val="center"/>
          </w:tcPr>
          <w:p>
            <w:r>
              <w:t>Infectious spleen and kidney necrosis virus (ISKNV)</w:t>
            </w:r>
          </w:p>
        </w:tc>
        <w:tc>
          <w:tcPr>
            <w:tcW w:type="dxa" w:w="2408"/>
            <w:tcMar>
              <w:top w:w="80" w:type="dxa"/>
              <w:start w:w="100" w:type="dxa"/>
              <w:bottom w:w="80" w:type="dxa"/>
              <w:end w:w="100" w:type="dxa"/>
            </w:tcMar>
            <w:vAlign w:val="center"/>
          </w:tcPr>
          <w:p>
            <w:r>
              <w:t>Darkening; pale gills; abnormal movements; lethargy; skin hemorrhages; ascites</w:t>
            </w:r>
          </w:p>
        </w:tc>
        <w:tc>
          <w:tcPr>
            <w:tcW w:type="dxa" w:w="2408"/>
            <w:tcMar>
              <w:top w:w="80" w:type="dxa"/>
              <w:start w:w="100" w:type="dxa"/>
              <w:bottom w:w="80" w:type="dxa"/>
              <w:end w:w="100" w:type="dxa"/>
            </w:tcMar>
            <w:vAlign w:val="center"/>
          </w:tcPr>
          <w:p>
            <w:r>
              <w:t>Megalocytivirus</w:t>
            </w:r>
          </w:p>
        </w:tc>
      </w:tr>
      <w:tr>
        <w:tc>
          <w:tcPr>
            <w:tcW w:type="dxa" w:w="2408"/>
            <w:tcMar>
              <w:top w:w="80" w:type="dxa"/>
              <w:start w:w="100" w:type="dxa"/>
              <w:bottom w:w="80" w:type="dxa"/>
              <w:end w:w="100" w:type="dxa"/>
            </w:tcMar>
            <w:vAlign w:val="center"/>
          </w:tcPr>
          <w:p>
            <w:r>
              <w:t>Bacterial</w:t>
            </w:r>
          </w:p>
        </w:tc>
        <w:tc>
          <w:tcPr>
            <w:tcW w:type="dxa" w:w="2408"/>
            <w:tcMar>
              <w:top w:w="80" w:type="dxa"/>
              <w:start w:w="100" w:type="dxa"/>
              <w:bottom w:w="80" w:type="dxa"/>
              <w:end w:w="100" w:type="dxa"/>
            </w:tcMar>
            <w:vAlign w:val="center"/>
          </w:tcPr>
          <w:p>
            <w:r>
              <w:t>Motile aeromonad septicemia / hemorrhagic septicemia</w:t>
            </w:r>
          </w:p>
        </w:tc>
        <w:tc>
          <w:tcPr>
            <w:tcW w:type="dxa" w:w="2408"/>
            <w:tcMar>
              <w:top w:w="80" w:type="dxa"/>
              <w:start w:w="100" w:type="dxa"/>
              <w:bottom w:w="80" w:type="dxa"/>
              <w:end w:w="100" w:type="dxa"/>
            </w:tcMar>
            <w:vAlign w:val="center"/>
          </w:tcPr>
          <w:p>
            <w:r>
              <w:t>Gill and abdominal congestion; reddening and external bleeding; swollen abdomen; worsening lesions</w:t>
            </w:r>
          </w:p>
        </w:tc>
        <w:tc>
          <w:tcPr>
            <w:tcW w:type="dxa" w:w="2408"/>
            <w:tcMar>
              <w:top w:w="80" w:type="dxa"/>
              <w:start w:w="100" w:type="dxa"/>
              <w:bottom w:w="80" w:type="dxa"/>
              <w:end w:w="100" w:type="dxa"/>
            </w:tcMar>
            <w:vAlign w:val="center"/>
          </w:tcPr>
          <w:p>
            <w:r>
              <w:t>Aeromonas hydrophila; Aeromonas veronii; Aeromonas dhakensis</w:t>
            </w:r>
          </w:p>
        </w:tc>
      </w:tr>
      <w:tr>
        <w:tc>
          <w:tcPr>
            <w:tcW w:type="dxa" w:w="2408"/>
            <w:tcMar>
              <w:top w:w="80" w:type="dxa"/>
              <w:start w:w="100" w:type="dxa"/>
              <w:bottom w:w="80" w:type="dxa"/>
              <w:end w:w="100" w:type="dxa"/>
            </w:tcMar>
            <w:vAlign w:val="center"/>
          </w:tcPr>
          <w:p>
            <w:r>
              <w:t>Bacterial</w:t>
            </w:r>
          </w:p>
        </w:tc>
        <w:tc>
          <w:tcPr>
            <w:tcW w:type="dxa" w:w="2408"/>
            <w:tcMar>
              <w:top w:w="80" w:type="dxa"/>
              <w:start w:w="100" w:type="dxa"/>
              <w:bottom w:w="80" w:type="dxa"/>
              <w:end w:w="100" w:type="dxa"/>
            </w:tcMar>
            <w:vAlign w:val="center"/>
          </w:tcPr>
          <w:p>
            <w:r>
              <w:t>Streptococcosis</w:t>
            </w:r>
          </w:p>
        </w:tc>
        <w:tc>
          <w:tcPr>
            <w:tcW w:type="dxa" w:w="2408"/>
            <w:tcMar>
              <w:top w:w="80" w:type="dxa"/>
              <w:start w:w="100" w:type="dxa"/>
              <w:bottom w:w="80" w:type="dxa"/>
              <w:end w:w="100" w:type="dxa"/>
            </w:tcMar>
            <w:vAlign w:val="center"/>
          </w:tcPr>
          <w:p>
            <w:r>
              <w:t>Off-feeding; lethargy; swirling swimming; exophthalmia; acute hemorrhage</w:t>
            </w:r>
          </w:p>
        </w:tc>
        <w:tc>
          <w:tcPr>
            <w:tcW w:type="dxa" w:w="2408"/>
            <w:tcMar>
              <w:top w:w="80" w:type="dxa"/>
              <w:start w:w="100" w:type="dxa"/>
              <w:bottom w:w="80" w:type="dxa"/>
              <w:end w:w="100" w:type="dxa"/>
            </w:tcMar>
            <w:vAlign w:val="center"/>
          </w:tcPr>
          <w:p>
            <w:r>
              <w:t>Streptococcus agalactiae; Streptococcus iniae; Streptococcus dysgalactiae</w:t>
            </w:r>
          </w:p>
        </w:tc>
      </w:tr>
      <w:tr>
        <w:tc>
          <w:tcPr>
            <w:tcW w:type="dxa" w:w="2408"/>
            <w:tcMar>
              <w:top w:w="80" w:type="dxa"/>
              <w:start w:w="100" w:type="dxa"/>
              <w:bottom w:w="80" w:type="dxa"/>
              <w:end w:w="100" w:type="dxa"/>
            </w:tcMar>
            <w:vAlign w:val="center"/>
          </w:tcPr>
          <w:p>
            <w:r>
              <w:t>Bacterial</w:t>
            </w:r>
          </w:p>
        </w:tc>
        <w:tc>
          <w:tcPr>
            <w:tcW w:type="dxa" w:w="2408"/>
            <w:tcMar>
              <w:top w:w="80" w:type="dxa"/>
              <w:start w:w="100" w:type="dxa"/>
              <w:bottom w:w="80" w:type="dxa"/>
              <w:end w:w="100" w:type="dxa"/>
            </w:tcMar>
            <w:vAlign w:val="center"/>
          </w:tcPr>
          <w:p>
            <w:r>
              <w:t>Columnaris</w:t>
            </w:r>
          </w:p>
        </w:tc>
        <w:tc>
          <w:tcPr>
            <w:tcW w:type="dxa" w:w="2408"/>
            <w:tcMar>
              <w:top w:w="80" w:type="dxa"/>
              <w:start w:w="100" w:type="dxa"/>
              <w:bottom w:w="80" w:type="dxa"/>
              <w:end w:w="100" w:type="dxa"/>
            </w:tcMar>
            <w:vAlign w:val="center"/>
          </w:tcPr>
          <w:p>
            <w:r>
              <w:t>Gill necrosis; fin rot; skin erosion; necrotic muscle; saddle-back lesion</w:t>
            </w:r>
          </w:p>
        </w:tc>
        <w:tc>
          <w:tcPr>
            <w:tcW w:type="dxa" w:w="2408"/>
            <w:tcMar>
              <w:top w:w="80" w:type="dxa"/>
              <w:start w:w="100" w:type="dxa"/>
              <w:bottom w:w="80" w:type="dxa"/>
              <w:end w:w="100" w:type="dxa"/>
            </w:tcMar>
            <w:vAlign w:val="center"/>
          </w:tcPr>
          <w:p>
            <w:r>
              <w:t>Flavobacterium columnare</w:t>
            </w:r>
          </w:p>
        </w:tc>
      </w:tr>
      <w:tr>
        <w:tc>
          <w:tcPr>
            <w:tcW w:type="dxa" w:w="2408"/>
            <w:tcMar>
              <w:top w:w="80" w:type="dxa"/>
              <w:start w:w="100" w:type="dxa"/>
              <w:bottom w:w="80" w:type="dxa"/>
              <w:end w:w="100" w:type="dxa"/>
            </w:tcMar>
            <w:vAlign w:val="center"/>
          </w:tcPr>
          <w:p>
            <w:r>
              <w:t>Bacterial</w:t>
            </w:r>
          </w:p>
        </w:tc>
        <w:tc>
          <w:tcPr>
            <w:tcW w:type="dxa" w:w="2408"/>
            <w:tcMar>
              <w:top w:w="80" w:type="dxa"/>
              <w:start w:w="100" w:type="dxa"/>
              <w:bottom w:w="80" w:type="dxa"/>
              <w:end w:w="100" w:type="dxa"/>
            </w:tcMar>
            <w:vAlign w:val="center"/>
          </w:tcPr>
          <w:p>
            <w:r>
              <w:t>Francisellosis</w:t>
            </w:r>
          </w:p>
        </w:tc>
        <w:tc>
          <w:tcPr>
            <w:tcW w:type="dxa" w:w="2408"/>
            <w:tcMar>
              <w:top w:w="80" w:type="dxa"/>
              <w:start w:w="100" w:type="dxa"/>
              <w:bottom w:w="80" w:type="dxa"/>
              <w:end w:w="100" w:type="dxa"/>
            </w:tcMar>
            <w:vAlign w:val="center"/>
          </w:tcPr>
          <w:p>
            <w:r>
              <w:t>Pale body; white spots or nodules on spleen, head kidney, trunk kidney, and gills; reduced appetite</w:t>
            </w:r>
          </w:p>
        </w:tc>
        <w:tc>
          <w:tcPr>
            <w:tcW w:type="dxa" w:w="2408"/>
            <w:tcMar>
              <w:top w:w="80" w:type="dxa"/>
              <w:start w:w="100" w:type="dxa"/>
              <w:bottom w:w="80" w:type="dxa"/>
              <w:end w:w="100" w:type="dxa"/>
            </w:tcMar>
            <w:vAlign w:val="center"/>
          </w:tcPr>
          <w:p>
            <w:r>
              <w:t>Francisella orientalis</w:t>
            </w:r>
          </w:p>
        </w:tc>
      </w:tr>
      <w:tr>
        <w:tc>
          <w:tcPr>
            <w:tcW w:type="dxa" w:w="2408"/>
            <w:tcMar>
              <w:top w:w="80" w:type="dxa"/>
              <w:start w:w="100" w:type="dxa"/>
              <w:bottom w:w="80" w:type="dxa"/>
              <w:end w:w="100" w:type="dxa"/>
            </w:tcMar>
            <w:vAlign w:val="center"/>
          </w:tcPr>
          <w:p>
            <w:r>
              <w:t>Bacterial</w:t>
            </w:r>
          </w:p>
        </w:tc>
        <w:tc>
          <w:tcPr>
            <w:tcW w:type="dxa" w:w="2408"/>
            <w:tcMar>
              <w:top w:w="80" w:type="dxa"/>
              <w:start w:w="100" w:type="dxa"/>
              <w:bottom w:w="80" w:type="dxa"/>
              <w:end w:w="100" w:type="dxa"/>
            </w:tcMar>
            <w:vAlign w:val="center"/>
          </w:tcPr>
          <w:p>
            <w:r>
              <w:t>Edwardsiellosis</w:t>
            </w:r>
          </w:p>
        </w:tc>
        <w:tc>
          <w:tcPr>
            <w:tcW w:type="dxa" w:w="2408"/>
            <w:tcMar>
              <w:top w:w="80" w:type="dxa"/>
              <w:start w:w="100" w:type="dxa"/>
              <w:bottom w:w="80" w:type="dxa"/>
              <w:end w:w="100" w:type="dxa"/>
            </w:tcMar>
            <w:vAlign w:val="center"/>
          </w:tcPr>
          <w:p>
            <w:r>
              <w:t>White spots on spleen and head kidney; pale gills and liver; corneal opacity; reddening of anal papilla</w:t>
            </w:r>
          </w:p>
        </w:tc>
        <w:tc>
          <w:tcPr>
            <w:tcW w:type="dxa" w:w="2408"/>
            <w:tcMar>
              <w:top w:w="80" w:type="dxa"/>
              <w:start w:w="100" w:type="dxa"/>
              <w:bottom w:w="80" w:type="dxa"/>
              <w:end w:w="100" w:type="dxa"/>
            </w:tcMar>
            <w:vAlign w:val="center"/>
          </w:tcPr>
          <w:p>
            <w:r>
              <w:t>Edwardsiella tarda; Edwardsiella ictaluri; Edwardsiella piscicida</w:t>
            </w:r>
          </w:p>
        </w:tc>
      </w:tr>
      <w:tr>
        <w:tc>
          <w:tcPr>
            <w:tcW w:type="dxa" w:w="2408"/>
            <w:tcMar>
              <w:top w:w="80" w:type="dxa"/>
              <w:start w:w="100" w:type="dxa"/>
              <w:bottom w:w="80" w:type="dxa"/>
              <w:end w:w="100" w:type="dxa"/>
            </w:tcMar>
            <w:vAlign w:val="center"/>
          </w:tcPr>
          <w:p>
            <w:r>
              <w:t>Fungal</w:t>
            </w:r>
          </w:p>
        </w:tc>
        <w:tc>
          <w:tcPr>
            <w:tcW w:type="dxa" w:w="2408"/>
            <w:tcMar>
              <w:top w:w="80" w:type="dxa"/>
              <w:start w:w="100" w:type="dxa"/>
              <w:bottom w:w="80" w:type="dxa"/>
              <w:end w:w="100" w:type="dxa"/>
            </w:tcMar>
            <w:vAlign w:val="center"/>
          </w:tcPr>
          <w:p>
            <w:r>
              <w:t>Epizootic Ulcerative Syndrome (EUS)</w:t>
            </w:r>
          </w:p>
        </w:tc>
        <w:tc>
          <w:tcPr>
            <w:tcW w:type="dxa" w:w="2408"/>
            <w:tcMar>
              <w:top w:w="80" w:type="dxa"/>
              <w:start w:w="100" w:type="dxa"/>
              <w:bottom w:w="80" w:type="dxa"/>
              <w:end w:w="100" w:type="dxa"/>
            </w:tcMar>
            <w:vAlign w:val="center"/>
          </w:tcPr>
          <w:p>
            <w:r>
              <w:t>Red spots; burn-like or dark marks; ulcers with red centers and white rims; clouding of the eye; necrotic lesions</w:t>
            </w:r>
          </w:p>
        </w:tc>
        <w:tc>
          <w:tcPr>
            <w:tcW w:type="dxa" w:w="2408"/>
            <w:tcMar>
              <w:top w:w="80" w:type="dxa"/>
              <w:start w:w="100" w:type="dxa"/>
              <w:bottom w:w="80" w:type="dxa"/>
              <w:end w:w="100" w:type="dxa"/>
            </w:tcMar>
            <w:vAlign w:val="center"/>
          </w:tcPr>
          <w:p>
            <w:r>
              <w:t>Aphanomyces invadans</w:t>
            </w:r>
          </w:p>
        </w:tc>
      </w:tr>
    </w:tbl>
    <w:p>
      <w:r>
        <w:br w:type="page"/>
      </w:r>
    </w:p>
    <w:p>
      <w:pPr>
        <w:pStyle w:val="Heading1"/>
      </w:pPr>
      <w:r>
        <w:t>Appendix 2. ARC biosecurity audit checklist</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rPr>
          <w:tblHeader w:val="true"/>
        </w:trPr>
        <w:tc>
          <w:tcPr>
            <w:tcW w:type="dxa" w:w="1605"/>
            <w:shd w:fill="DCE6F1"/>
            <w:tcMar>
              <w:top w:w="80" w:type="dxa"/>
              <w:start w:w="100" w:type="dxa"/>
              <w:bottom w:w="80" w:type="dxa"/>
              <w:end w:w="100" w:type="dxa"/>
            </w:tcMar>
          </w:tcPr>
          <w:p>
            <w:r>
              <w:t>Item</w:t>
            </w:r>
          </w:p>
        </w:tc>
        <w:tc>
          <w:tcPr>
            <w:tcW w:type="dxa" w:w="1605"/>
            <w:shd w:fill="DCE6F1"/>
            <w:tcMar>
              <w:top w:w="80" w:type="dxa"/>
              <w:start w:w="100" w:type="dxa"/>
              <w:bottom w:w="80" w:type="dxa"/>
              <w:end w:w="100" w:type="dxa"/>
            </w:tcMar>
          </w:tcPr>
          <w:p>
            <w:r>
              <w:t>Checklist point</w:t>
            </w:r>
          </w:p>
        </w:tc>
        <w:tc>
          <w:tcPr>
            <w:tcW w:type="dxa" w:w="1605"/>
            <w:shd w:fill="DCE6F1"/>
            <w:tcMar>
              <w:top w:w="80" w:type="dxa"/>
              <w:start w:w="100" w:type="dxa"/>
              <w:bottom w:w="80" w:type="dxa"/>
              <w:end w:w="100" w:type="dxa"/>
            </w:tcMar>
          </w:tcPr>
          <w:p>
            <w:r>
              <w:t>Yes</w:t>
            </w:r>
          </w:p>
        </w:tc>
        <w:tc>
          <w:tcPr>
            <w:tcW w:type="dxa" w:w="1605"/>
            <w:shd w:fill="DCE6F1"/>
            <w:tcMar>
              <w:top w:w="80" w:type="dxa"/>
              <w:start w:w="100" w:type="dxa"/>
              <w:bottom w:w="80" w:type="dxa"/>
              <w:end w:w="100" w:type="dxa"/>
            </w:tcMar>
          </w:tcPr>
          <w:p>
            <w:r>
              <w:t>No</w:t>
            </w:r>
          </w:p>
        </w:tc>
        <w:tc>
          <w:tcPr>
            <w:tcW w:type="dxa" w:w="1605"/>
            <w:shd w:fill="DCE6F1"/>
            <w:tcMar>
              <w:top w:w="80" w:type="dxa"/>
              <w:start w:w="100" w:type="dxa"/>
              <w:bottom w:w="80" w:type="dxa"/>
              <w:end w:w="100" w:type="dxa"/>
            </w:tcMar>
          </w:tcPr>
          <w:p>
            <w:r>
              <w:t>N/A</w:t>
            </w:r>
          </w:p>
        </w:tc>
        <w:tc>
          <w:tcPr>
            <w:tcW w:type="dxa" w:w="1605"/>
            <w:shd w:fill="DCE6F1"/>
            <w:tcMar>
              <w:top w:w="80" w:type="dxa"/>
              <w:start w:w="100" w:type="dxa"/>
              <w:bottom w:w="80" w:type="dxa"/>
              <w:end w:w="100" w:type="dxa"/>
            </w:tcMar>
          </w:tcPr>
          <w:p>
            <w:r>
              <w:t>Comments / corrective action</w:t>
            </w:r>
          </w:p>
        </w:tc>
      </w:tr>
      <w:tr>
        <w:tc>
          <w:tcPr>
            <w:tcW w:type="dxa" w:w="1605"/>
            <w:tcMar>
              <w:top w:w="80" w:type="dxa"/>
              <w:start w:w="100" w:type="dxa"/>
              <w:bottom w:w="80" w:type="dxa"/>
              <w:end w:w="100" w:type="dxa"/>
            </w:tcMar>
          </w:tcPr>
          <w:p>
            <w:r>
              <w:t>1.1</w:t>
            </w:r>
          </w:p>
        </w:tc>
        <w:tc>
          <w:tcPr>
            <w:tcW w:type="dxa" w:w="1605"/>
            <w:tcMar>
              <w:top w:w="80" w:type="dxa"/>
              <w:start w:w="100" w:type="dxa"/>
              <w:bottom w:w="80" w:type="dxa"/>
              <w:end w:w="100" w:type="dxa"/>
            </w:tcMar>
          </w:tcPr>
          <w:p>
            <w:r>
              <w:t>Clear signage displayed to promote compliance with biosecurity plan measures.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1.2</w:t>
            </w:r>
          </w:p>
        </w:tc>
        <w:tc>
          <w:tcPr>
            <w:tcW w:type="dxa" w:w="1605"/>
            <w:tcMar>
              <w:top w:w="80" w:type="dxa"/>
              <w:start w:w="100" w:type="dxa"/>
              <w:bottom w:w="80" w:type="dxa"/>
              <w:end w:w="100" w:type="dxa"/>
            </w:tcMar>
          </w:tcPr>
          <w:p>
            <w:r>
              <w:t>All access points are secure to prevent unauthorized personnel or animals from entering.</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1.3</w:t>
            </w:r>
          </w:p>
        </w:tc>
        <w:tc>
          <w:tcPr>
            <w:tcW w:type="dxa" w:w="1605"/>
            <w:tcMar>
              <w:top w:w="80" w:type="dxa"/>
              <w:start w:w="100" w:type="dxa"/>
              <w:bottom w:w="80" w:type="dxa"/>
              <w:end w:w="100" w:type="dxa"/>
            </w:tcMar>
          </w:tcPr>
          <w:p>
            <w:r>
              <w:t>Footbaths are clean and functional at all entry points.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1.4</w:t>
            </w:r>
          </w:p>
        </w:tc>
        <w:tc>
          <w:tcPr>
            <w:tcW w:type="dxa" w:w="1605"/>
            <w:tcMar>
              <w:top w:w="80" w:type="dxa"/>
              <w:start w:w="100" w:type="dxa"/>
              <w:bottom w:w="80" w:type="dxa"/>
              <w:end w:w="100" w:type="dxa"/>
            </w:tcMar>
          </w:tcPr>
          <w:p>
            <w:r>
              <w:t>Site perimeter fencing is intact and secure.</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1.5</w:t>
            </w:r>
          </w:p>
        </w:tc>
        <w:tc>
          <w:tcPr>
            <w:tcW w:type="dxa" w:w="1605"/>
            <w:tcMar>
              <w:top w:w="80" w:type="dxa"/>
              <w:start w:w="100" w:type="dxa"/>
              <w:bottom w:w="80" w:type="dxa"/>
              <w:end w:w="100" w:type="dxa"/>
            </w:tcMar>
          </w:tcPr>
          <w:p>
            <w:r>
              <w:t>All entrances to the facility are closed during non-working hours.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1.6</w:t>
            </w:r>
          </w:p>
        </w:tc>
        <w:tc>
          <w:tcPr>
            <w:tcW w:type="dxa" w:w="1605"/>
            <w:tcMar>
              <w:top w:w="80" w:type="dxa"/>
              <w:start w:w="100" w:type="dxa"/>
              <w:bottom w:w="80" w:type="dxa"/>
              <w:end w:w="100" w:type="dxa"/>
            </w:tcMar>
          </w:tcPr>
          <w:p>
            <w:r>
              <w:t>Operational equipment (pumps and blowers) is functional and clean.</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1.7</w:t>
            </w:r>
          </w:p>
        </w:tc>
        <w:tc>
          <w:tcPr>
            <w:tcW w:type="dxa" w:w="1605"/>
            <w:tcMar>
              <w:top w:w="80" w:type="dxa"/>
              <w:start w:w="100" w:type="dxa"/>
              <w:bottom w:w="80" w:type="dxa"/>
              <w:end w:w="100" w:type="dxa"/>
            </w:tcMar>
          </w:tcPr>
          <w:p>
            <w:r>
              <w:t>Chemicals are properly stored in a designated location.</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2.1</w:t>
            </w:r>
          </w:p>
        </w:tc>
        <w:tc>
          <w:tcPr>
            <w:tcW w:type="dxa" w:w="1605"/>
            <w:tcMar>
              <w:top w:w="80" w:type="dxa"/>
              <w:start w:w="100" w:type="dxa"/>
              <w:bottom w:w="80" w:type="dxa"/>
              <w:end w:w="100" w:type="dxa"/>
            </w:tcMar>
          </w:tcPr>
          <w:p>
            <w:r>
              <w:t>No solid waste remains on tables or floors.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2.2</w:t>
            </w:r>
          </w:p>
        </w:tc>
        <w:tc>
          <w:tcPr>
            <w:tcW w:type="dxa" w:w="1605"/>
            <w:tcMar>
              <w:top w:w="80" w:type="dxa"/>
              <w:start w:w="100" w:type="dxa"/>
              <w:bottom w:w="80" w:type="dxa"/>
              <w:end w:w="100" w:type="dxa"/>
            </w:tcMar>
          </w:tcPr>
          <w:p>
            <w:r>
              <w:t>Waste from all bins is collected daily.</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2.3</w:t>
            </w:r>
          </w:p>
        </w:tc>
        <w:tc>
          <w:tcPr>
            <w:tcW w:type="dxa" w:w="1605"/>
            <w:tcMar>
              <w:top w:w="80" w:type="dxa"/>
              <w:start w:w="100" w:type="dxa"/>
              <w:bottom w:w="80" w:type="dxa"/>
              <w:end w:w="100" w:type="dxa"/>
            </w:tcMar>
          </w:tcPr>
          <w:p>
            <w:r>
              <w:t>Work surfaces are clean.</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2.4</w:t>
            </w:r>
          </w:p>
        </w:tc>
        <w:tc>
          <w:tcPr>
            <w:tcW w:type="dxa" w:w="1605"/>
            <w:tcMar>
              <w:top w:w="80" w:type="dxa"/>
              <w:start w:w="100" w:type="dxa"/>
              <w:bottom w:w="80" w:type="dxa"/>
              <w:end w:w="100" w:type="dxa"/>
            </w:tcMar>
          </w:tcPr>
          <w:p>
            <w:r>
              <w:t>No personal belongings are stored in biosecure storage rooms.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2.5</w:t>
            </w:r>
          </w:p>
        </w:tc>
        <w:tc>
          <w:tcPr>
            <w:tcW w:type="dxa" w:w="1605"/>
            <w:tcMar>
              <w:top w:w="80" w:type="dxa"/>
              <w:start w:w="100" w:type="dxa"/>
              <w:bottom w:w="80" w:type="dxa"/>
              <w:end w:w="100" w:type="dxa"/>
            </w:tcMar>
          </w:tcPr>
          <w:p>
            <w:r>
              <w:t>No food or drink is present inside the facility.</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2.6</w:t>
            </w:r>
          </w:p>
        </w:tc>
        <w:tc>
          <w:tcPr>
            <w:tcW w:type="dxa" w:w="1605"/>
            <w:tcMar>
              <w:top w:w="80" w:type="dxa"/>
              <w:start w:w="100" w:type="dxa"/>
              <w:bottom w:w="80" w:type="dxa"/>
              <w:end w:w="100" w:type="dxa"/>
            </w:tcMar>
          </w:tcPr>
          <w:p>
            <w:r>
              <w:t>Cleanliness is maintained in all areas.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2.7</w:t>
            </w:r>
          </w:p>
        </w:tc>
        <w:tc>
          <w:tcPr>
            <w:tcW w:type="dxa" w:w="1605"/>
            <w:tcMar>
              <w:top w:w="80" w:type="dxa"/>
              <w:start w:w="100" w:type="dxa"/>
              <w:bottom w:w="80" w:type="dxa"/>
              <w:end w:w="100" w:type="dxa"/>
            </w:tcMar>
          </w:tcPr>
          <w:p>
            <w:r>
              <w:t>All storage areas are organized and secure.</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3.1</w:t>
            </w:r>
          </w:p>
        </w:tc>
        <w:tc>
          <w:tcPr>
            <w:tcW w:type="dxa" w:w="1605"/>
            <w:tcMar>
              <w:top w:w="80" w:type="dxa"/>
              <w:start w:w="100" w:type="dxa"/>
              <w:bottom w:w="80" w:type="dxa"/>
              <w:end w:w="100" w:type="dxa"/>
            </w:tcMar>
          </w:tcPr>
          <w:p>
            <w:r>
              <w:t>No vehicle, including motorbike, is parked near tanks.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3.2</w:t>
            </w:r>
          </w:p>
        </w:tc>
        <w:tc>
          <w:tcPr>
            <w:tcW w:type="dxa" w:w="1605"/>
            <w:tcMar>
              <w:top w:w="80" w:type="dxa"/>
              <w:start w:w="100" w:type="dxa"/>
              <w:bottom w:w="80" w:type="dxa"/>
              <w:end w:w="100" w:type="dxa"/>
            </w:tcMar>
          </w:tcPr>
          <w:p>
            <w:r>
              <w:t>Designated loading and delivery areas are defined.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3.3</w:t>
            </w:r>
          </w:p>
        </w:tc>
        <w:tc>
          <w:tcPr>
            <w:tcW w:type="dxa" w:w="1605"/>
            <w:tcMar>
              <w:top w:w="80" w:type="dxa"/>
              <w:start w:w="100" w:type="dxa"/>
              <w:bottom w:w="80" w:type="dxa"/>
              <w:end w:w="100" w:type="dxa"/>
            </w:tcMar>
          </w:tcPr>
          <w:p>
            <w:r>
              <w:t>Separate tools are assigned to each facility or epidemiological unit where applicable.</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3.4</w:t>
            </w:r>
          </w:p>
        </w:tc>
        <w:tc>
          <w:tcPr>
            <w:tcW w:type="dxa" w:w="1605"/>
            <w:tcMar>
              <w:top w:w="80" w:type="dxa"/>
              <w:start w:w="100" w:type="dxa"/>
              <w:bottom w:w="80" w:type="dxa"/>
              <w:end w:w="100" w:type="dxa"/>
            </w:tcMar>
          </w:tcPr>
          <w:p>
            <w:r>
              <w:t>Separate feeding utensils are assigned where required.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3.5</w:t>
            </w:r>
          </w:p>
        </w:tc>
        <w:tc>
          <w:tcPr>
            <w:tcW w:type="dxa" w:w="1605"/>
            <w:tcMar>
              <w:top w:w="80" w:type="dxa"/>
              <w:start w:w="100" w:type="dxa"/>
              <w:bottom w:w="80" w:type="dxa"/>
              <w:end w:w="100" w:type="dxa"/>
            </w:tcMar>
          </w:tcPr>
          <w:p>
            <w:r>
              <w:t>Equipment, materials, and tools are disinfected before and after use as required.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3.6</w:t>
            </w:r>
          </w:p>
        </w:tc>
        <w:tc>
          <w:tcPr>
            <w:tcW w:type="dxa" w:w="1605"/>
            <w:tcMar>
              <w:top w:w="80" w:type="dxa"/>
              <w:start w:w="100" w:type="dxa"/>
              <w:bottom w:w="80" w:type="dxa"/>
              <w:end w:w="100" w:type="dxa"/>
            </w:tcMar>
          </w:tcPr>
          <w:p>
            <w:r>
              <w:t>Tanks are disinfected before starting new production cycles.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4.1</w:t>
            </w:r>
          </w:p>
        </w:tc>
        <w:tc>
          <w:tcPr>
            <w:tcW w:type="dxa" w:w="1605"/>
            <w:tcMar>
              <w:top w:w="80" w:type="dxa"/>
              <w:start w:w="100" w:type="dxa"/>
              <w:bottom w:w="80" w:type="dxa"/>
              <w:end w:w="100" w:type="dxa"/>
            </w:tcMar>
          </w:tcPr>
          <w:p>
            <w:r>
              <w:t>Reservoirs are cleaned and maintained.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4.2</w:t>
            </w:r>
          </w:p>
        </w:tc>
        <w:tc>
          <w:tcPr>
            <w:tcW w:type="dxa" w:w="1605"/>
            <w:tcMar>
              <w:top w:w="80" w:type="dxa"/>
              <w:start w:w="100" w:type="dxa"/>
              <w:bottom w:w="80" w:type="dxa"/>
              <w:end w:w="100" w:type="dxa"/>
            </w:tcMar>
          </w:tcPr>
          <w:p>
            <w:r>
              <w:t>Water inlets are properly sealed or fitted.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4.3</w:t>
            </w:r>
          </w:p>
        </w:tc>
        <w:tc>
          <w:tcPr>
            <w:tcW w:type="dxa" w:w="1605"/>
            <w:tcMar>
              <w:top w:w="80" w:type="dxa"/>
              <w:start w:w="100" w:type="dxa"/>
              <w:bottom w:w="80" w:type="dxa"/>
              <w:end w:w="100" w:type="dxa"/>
            </w:tcMar>
          </w:tcPr>
          <w:p>
            <w:r>
              <w:t>Water outlets are properly sealed or fitted to prevent fish escape.</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4.4</w:t>
            </w:r>
          </w:p>
        </w:tc>
        <w:tc>
          <w:tcPr>
            <w:tcW w:type="dxa" w:w="1605"/>
            <w:tcMar>
              <w:top w:w="80" w:type="dxa"/>
              <w:start w:w="100" w:type="dxa"/>
              <w:bottom w:w="80" w:type="dxa"/>
              <w:end w:w="100" w:type="dxa"/>
            </w:tcMar>
          </w:tcPr>
          <w:p>
            <w:r>
              <w:t>Water exchange is performed according to schedule.</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4.5</w:t>
            </w:r>
          </w:p>
        </w:tc>
        <w:tc>
          <w:tcPr>
            <w:tcW w:type="dxa" w:w="1605"/>
            <w:tcMar>
              <w:top w:w="80" w:type="dxa"/>
              <w:start w:w="100" w:type="dxa"/>
              <w:bottom w:w="80" w:type="dxa"/>
              <w:end w:w="100" w:type="dxa"/>
            </w:tcMar>
          </w:tcPr>
          <w:p>
            <w:r>
              <w:t>Dechlorination of inlet water is confirmed through records where relevant.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4.6</w:t>
            </w:r>
          </w:p>
        </w:tc>
        <w:tc>
          <w:tcPr>
            <w:tcW w:type="dxa" w:w="1605"/>
            <w:tcMar>
              <w:top w:w="80" w:type="dxa"/>
              <w:start w:w="100" w:type="dxa"/>
              <w:bottom w:w="80" w:type="dxa"/>
              <w:end w:w="100" w:type="dxa"/>
            </w:tcMar>
          </w:tcPr>
          <w:p>
            <w:r>
              <w:t>Water quality monitoring equipment is calibrated and functioning.</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4.7</w:t>
            </w:r>
          </w:p>
        </w:tc>
        <w:tc>
          <w:tcPr>
            <w:tcW w:type="dxa" w:w="1605"/>
            <w:tcMar>
              <w:top w:w="80" w:type="dxa"/>
              <w:start w:w="100" w:type="dxa"/>
              <w:bottom w:w="80" w:type="dxa"/>
              <w:end w:w="100" w:type="dxa"/>
            </w:tcMar>
          </w:tcPr>
          <w:p>
            <w:r>
              <w:t>Wastewater treatment infrastructure is functioning and maintained.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5.1</w:t>
            </w:r>
          </w:p>
        </w:tc>
        <w:tc>
          <w:tcPr>
            <w:tcW w:type="dxa" w:w="1605"/>
            <w:tcMar>
              <w:top w:w="80" w:type="dxa"/>
              <w:start w:w="100" w:type="dxa"/>
              <w:bottom w:w="80" w:type="dxa"/>
              <w:end w:w="100" w:type="dxa"/>
            </w:tcMar>
          </w:tcPr>
          <w:p>
            <w:r>
              <w:t>Unauthorized visitor access is restricted.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5.2</w:t>
            </w:r>
          </w:p>
        </w:tc>
        <w:tc>
          <w:tcPr>
            <w:tcW w:type="dxa" w:w="1605"/>
            <w:tcMar>
              <w:top w:w="80" w:type="dxa"/>
              <w:start w:w="100" w:type="dxa"/>
              <w:bottom w:w="80" w:type="dxa"/>
              <w:end w:w="100" w:type="dxa"/>
            </w:tcMar>
          </w:tcPr>
          <w:p>
            <w:r>
              <w:t>A visitor logbook is maintained.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5.3</w:t>
            </w:r>
          </w:p>
        </w:tc>
        <w:tc>
          <w:tcPr>
            <w:tcW w:type="dxa" w:w="1605"/>
            <w:tcMar>
              <w:top w:w="80" w:type="dxa"/>
              <w:start w:w="100" w:type="dxa"/>
              <w:bottom w:w="80" w:type="dxa"/>
              <w:end w:w="100" w:type="dxa"/>
            </w:tcMar>
          </w:tcPr>
          <w:p>
            <w:r>
              <w:t>Visitors are informed about the biosecurity rules and are escorted.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5.4</w:t>
            </w:r>
          </w:p>
        </w:tc>
        <w:tc>
          <w:tcPr>
            <w:tcW w:type="dxa" w:w="1605"/>
            <w:tcMar>
              <w:top w:w="80" w:type="dxa"/>
              <w:start w:w="100" w:type="dxa"/>
              <w:bottom w:w="80" w:type="dxa"/>
              <w:end w:w="100" w:type="dxa"/>
            </w:tcMar>
          </w:tcPr>
          <w:p>
            <w:r>
              <w:t>Boot-changing and hand-washing facilities are in place for all persons entering and exiting.</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5.5</w:t>
            </w:r>
          </w:p>
        </w:tc>
        <w:tc>
          <w:tcPr>
            <w:tcW w:type="dxa" w:w="1605"/>
            <w:tcMar>
              <w:top w:w="80" w:type="dxa"/>
              <w:start w:w="100" w:type="dxa"/>
              <w:bottom w:w="80" w:type="dxa"/>
              <w:end w:w="100" w:type="dxa"/>
            </w:tcMar>
          </w:tcPr>
          <w:p>
            <w:r>
              <w:t>Staff working across multiple areas use designated working boots or equivalent controls.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6.1</w:t>
            </w:r>
          </w:p>
        </w:tc>
        <w:tc>
          <w:tcPr>
            <w:tcW w:type="dxa" w:w="1605"/>
            <w:tcMar>
              <w:top w:w="80" w:type="dxa"/>
              <w:start w:w="100" w:type="dxa"/>
              <w:bottom w:w="80" w:type="dxa"/>
              <w:end w:w="100" w:type="dxa"/>
            </w:tcMar>
          </w:tcPr>
          <w:p>
            <w:r>
              <w:t>Tanks are inspected for damage or leaks.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6.2</w:t>
            </w:r>
          </w:p>
        </w:tc>
        <w:tc>
          <w:tcPr>
            <w:tcW w:type="dxa" w:w="1605"/>
            <w:tcMar>
              <w:top w:w="80" w:type="dxa"/>
              <w:start w:w="100" w:type="dxa"/>
              <w:bottom w:w="80" w:type="dxa"/>
              <w:end w:w="100" w:type="dxa"/>
            </w:tcMar>
          </w:tcPr>
          <w:p>
            <w:r>
              <w:t>Tanks are clean, including removal of uneaten feed.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6.3</w:t>
            </w:r>
          </w:p>
        </w:tc>
        <w:tc>
          <w:tcPr>
            <w:tcW w:type="dxa" w:w="1605"/>
            <w:tcMar>
              <w:top w:w="80" w:type="dxa"/>
              <w:start w:w="100" w:type="dxa"/>
              <w:bottom w:w="80" w:type="dxa"/>
              <w:end w:w="100" w:type="dxa"/>
            </w:tcMar>
          </w:tcPr>
          <w:p>
            <w:r>
              <w:t>Ancillary equipment such as aerators is clean.</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6.4</w:t>
            </w:r>
          </w:p>
        </w:tc>
        <w:tc>
          <w:tcPr>
            <w:tcW w:type="dxa" w:w="1605"/>
            <w:tcMar>
              <w:top w:w="80" w:type="dxa"/>
              <w:start w:w="100" w:type="dxa"/>
              <w:bottom w:w="80" w:type="dxa"/>
              <w:end w:w="100" w:type="dxa"/>
            </w:tcMar>
          </w:tcPr>
          <w:p>
            <w:r>
              <w:t>Temporary labeling such as cellophane tape is not used on tanks.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6.5</w:t>
            </w:r>
          </w:p>
        </w:tc>
        <w:tc>
          <w:tcPr>
            <w:tcW w:type="dxa" w:w="1605"/>
            <w:tcMar>
              <w:top w:w="80" w:type="dxa"/>
              <w:start w:w="100" w:type="dxa"/>
              <w:bottom w:w="80" w:type="dxa"/>
              <w:end w:w="100" w:type="dxa"/>
            </w:tcMar>
          </w:tcPr>
          <w:p>
            <w:r>
              <w:t>All tanks have unique and permanent identifiers.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7.1</w:t>
            </w:r>
          </w:p>
        </w:tc>
        <w:tc>
          <w:tcPr>
            <w:tcW w:type="dxa" w:w="1605"/>
            <w:tcMar>
              <w:top w:w="80" w:type="dxa"/>
              <w:start w:w="100" w:type="dxa"/>
              <w:bottom w:w="80" w:type="dxa"/>
              <w:end w:w="100" w:type="dxa"/>
            </w:tcMar>
          </w:tcPr>
          <w:p>
            <w:r>
              <w:t>Feed is stored in a designated area.</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7.2</w:t>
            </w:r>
          </w:p>
        </w:tc>
        <w:tc>
          <w:tcPr>
            <w:tcW w:type="dxa" w:w="1605"/>
            <w:tcMar>
              <w:top w:w="80" w:type="dxa"/>
              <w:start w:w="100" w:type="dxa"/>
              <w:bottom w:w="80" w:type="dxa"/>
              <w:end w:w="100" w:type="dxa"/>
            </w:tcMar>
          </w:tcPr>
          <w:p>
            <w:r>
              <w:t>Feed bags are placed on pallets.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7.3</w:t>
            </w:r>
          </w:p>
        </w:tc>
        <w:tc>
          <w:tcPr>
            <w:tcW w:type="dxa" w:w="1605"/>
            <w:tcMar>
              <w:top w:w="80" w:type="dxa"/>
              <w:start w:w="100" w:type="dxa"/>
              <w:bottom w:w="80" w:type="dxa"/>
              <w:end w:w="100" w:type="dxa"/>
            </w:tcMar>
          </w:tcPr>
          <w:p>
            <w:r>
              <w:t>There is a gap between feed bags and the wall and ceiling.</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7.4</w:t>
            </w:r>
          </w:p>
        </w:tc>
        <w:tc>
          <w:tcPr>
            <w:tcW w:type="dxa" w:w="1605"/>
            <w:tcMar>
              <w:top w:w="80" w:type="dxa"/>
              <w:start w:w="100" w:type="dxa"/>
              <w:bottom w:w="80" w:type="dxa"/>
              <w:end w:w="100" w:type="dxa"/>
            </w:tcMar>
          </w:tcPr>
          <w:p>
            <w:r>
              <w:t>All feed bags are labeled with expiry date.</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7.5</w:t>
            </w:r>
          </w:p>
        </w:tc>
        <w:tc>
          <w:tcPr>
            <w:tcW w:type="dxa" w:w="1605"/>
            <w:tcMar>
              <w:top w:w="80" w:type="dxa"/>
              <w:start w:w="100" w:type="dxa"/>
              <w:bottom w:w="80" w:type="dxa"/>
              <w:end w:w="100" w:type="dxa"/>
            </w:tcMar>
          </w:tcPr>
          <w:p>
            <w:r>
              <w:t>Opened feed is stored inside labeled plastic barrels or sealed containers.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7.6</w:t>
            </w:r>
          </w:p>
        </w:tc>
        <w:tc>
          <w:tcPr>
            <w:tcW w:type="dxa" w:w="1605"/>
            <w:tcMar>
              <w:top w:w="80" w:type="dxa"/>
              <w:start w:w="100" w:type="dxa"/>
              <w:bottom w:w="80" w:type="dxa"/>
              <w:end w:w="100" w:type="dxa"/>
            </w:tcMar>
          </w:tcPr>
          <w:p>
            <w:r>
              <w:t>All feed containers are labeled.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7.7</w:t>
            </w:r>
          </w:p>
        </w:tc>
        <w:tc>
          <w:tcPr>
            <w:tcW w:type="dxa" w:w="1605"/>
            <w:tcMar>
              <w:top w:w="80" w:type="dxa"/>
              <w:start w:w="100" w:type="dxa"/>
              <w:bottom w:w="80" w:type="dxa"/>
              <w:end w:w="100" w:type="dxa"/>
            </w:tcMar>
          </w:tcPr>
          <w:p>
            <w:r>
              <w:t>Commercial feeds from the same company are used whenever possible unless change is approved.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7.8</w:t>
            </w:r>
          </w:p>
        </w:tc>
        <w:tc>
          <w:tcPr>
            <w:tcW w:type="dxa" w:w="1605"/>
            <w:tcMar>
              <w:top w:w="80" w:type="dxa"/>
              <w:start w:w="100" w:type="dxa"/>
              <w:bottom w:w="80" w:type="dxa"/>
              <w:end w:w="100" w:type="dxa"/>
            </w:tcMar>
          </w:tcPr>
          <w:p>
            <w:r>
              <w:t>Feed changes, if any, are approved by management.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8.1</w:t>
            </w:r>
          </w:p>
        </w:tc>
        <w:tc>
          <w:tcPr>
            <w:tcW w:type="dxa" w:w="1605"/>
            <w:tcMar>
              <w:top w:w="80" w:type="dxa"/>
              <w:start w:w="100" w:type="dxa"/>
              <w:bottom w:w="80" w:type="dxa"/>
              <w:end w:w="100" w:type="dxa"/>
            </w:tcMar>
          </w:tcPr>
          <w:p>
            <w:r>
              <w:t>Movement records are maintained for fish at all stages.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8.2</w:t>
            </w:r>
          </w:p>
        </w:tc>
        <w:tc>
          <w:tcPr>
            <w:tcW w:type="dxa" w:w="1605"/>
            <w:tcMar>
              <w:top w:w="80" w:type="dxa"/>
              <w:start w:w="100" w:type="dxa"/>
              <w:bottom w:w="80" w:type="dxa"/>
              <w:end w:w="100" w:type="dxa"/>
            </w:tcMar>
          </w:tcPr>
          <w:p>
            <w:r>
              <w:t>Fish are not overcrowded.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8.3</w:t>
            </w:r>
          </w:p>
        </w:tc>
        <w:tc>
          <w:tcPr>
            <w:tcW w:type="dxa" w:w="1605"/>
            <w:tcMar>
              <w:top w:w="80" w:type="dxa"/>
              <w:start w:w="100" w:type="dxa"/>
              <w:bottom w:w="80" w:type="dxa"/>
              <w:end w:w="100" w:type="dxa"/>
            </w:tcMar>
          </w:tcPr>
          <w:p>
            <w:r>
              <w:t>Nets are installed at overflow pipes for rearing tanks where required.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8.4</w:t>
            </w:r>
          </w:p>
        </w:tc>
        <w:tc>
          <w:tcPr>
            <w:tcW w:type="dxa" w:w="1605"/>
            <w:tcMar>
              <w:top w:w="80" w:type="dxa"/>
              <w:start w:w="100" w:type="dxa"/>
              <w:bottom w:w="80" w:type="dxa"/>
              <w:end w:w="100" w:type="dxa"/>
            </w:tcMar>
          </w:tcPr>
          <w:p>
            <w:r>
              <w:t>Nets are installed at inlet pipes in sump tanks where required.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8.5</w:t>
            </w:r>
          </w:p>
        </w:tc>
        <w:tc>
          <w:tcPr>
            <w:tcW w:type="dxa" w:w="1605"/>
            <w:tcMar>
              <w:top w:w="80" w:type="dxa"/>
              <w:start w:w="100" w:type="dxa"/>
              <w:bottom w:w="80" w:type="dxa"/>
              <w:end w:w="100" w:type="dxa"/>
            </w:tcMar>
          </w:tcPr>
          <w:p>
            <w:r>
              <w:t>Outlet protection is used during water exchange for fry tanks where required.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8.6</w:t>
            </w:r>
          </w:p>
        </w:tc>
        <w:tc>
          <w:tcPr>
            <w:tcW w:type="dxa" w:w="1605"/>
            <w:tcMar>
              <w:top w:w="80" w:type="dxa"/>
              <w:start w:w="100" w:type="dxa"/>
              <w:bottom w:w="80" w:type="dxa"/>
              <w:end w:w="100" w:type="dxa"/>
            </w:tcMar>
          </w:tcPr>
          <w:p>
            <w:r>
              <w:t>Cats and other animals are not present in the facility.</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8.7</w:t>
            </w:r>
          </w:p>
        </w:tc>
        <w:tc>
          <w:tcPr>
            <w:tcW w:type="dxa" w:w="1605"/>
            <w:tcMar>
              <w:top w:w="80" w:type="dxa"/>
              <w:start w:w="100" w:type="dxa"/>
              <w:bottom w:w="80" w:type="dxa"/>
              <w:end w:w="100" w:type="dxa"/>
            </w:tcMar>
          </w:tcPr>
          <w:p>
            <w:r>
              <w:t>Dead fish are promptly removed and safely disposed of.</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8.8</w:t>
            </w:r>
          </w:p>
        </w:tc>
        <w:tc>
          <w:tcPr>
            <w:tcW w:type="dxa" w:w="1605"/>
            <w:tcMar>
              <w:top w:w="80" w:type="dxa"/>
              <w:start w:w="100" w:type="dxa"/>
              <w:bottom w:w="80" w:type="dxa"/>
              <w:end w:w="100" w:type="dxa"/>
            </w:tcMar>
          </w:tcPr>
          <w:p>
            <w:r>
              <w:t>Facilities are inspected for pests.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8.9</w:t>
            </w:r>
          </w:p>
        </w:tc>
        <w:tc>
          <w:tcPr>
            <w:tcW w:type="dxa" w:w="1605"/>
            <w:tcMar>
              <w:top w:w="80" w:type="dxa"/>
              <w:start w:w="100" w:type="dxa"/>
              <w:bottom w:w="80" w:type="dxa"/>
              <w:end w:w="100" w:type="dxa"/>
            </w:tcMar>
          </w:tcPr>
          <w:p>
            <w:r>
              <w:t>Rat traps and bait stations are checked.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9.1</w:t>
            </w:r>
          </w:p>
        </w:tc>
        <w:tc>
          <w:tcPr>
            <w:tcW w:type="dxa" w:w="1605"/>
            <w:tcMar>
              <w:top w:w="80" w:type="dxa"/>
              <w:start w:w="100" w:type="dxa"/>
              <w:bottom w:w="80" w:type="dxa"/>
              <w:end w:w="100" w:type="dxa"/>
            </w:tcMar>
          </w:tcPr>
          <w:p>
            <w:r>
              <w:t>Fish are randomly inspected for visible signs of disease and findings are documented.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9.2</w:t>
            </w:r>
          </w:p>
        </w:tc>
        <w:tc>
          <w:tcPr>
            <w:tcW w:type="dxa" w:w="1605"/>
            <w:tcMar>
              <w:top w:w="80" w:type="dxa"/>
              <w:start w:w="100" w:type="dxa"/>
              <w:bottom w:w="80" w:type="dxa"/>
              <w:end w:w="100" w:type="dxa"/>
            </w:tcMar>
          </w:tcPr>
          <w:p>
            <w:r>
              <w:t>Scheduled fish health assessments are conducted.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9.3</w:t>
            </w:r>
          </w:p>
        </w:tc>
        <w:tc>
          <w:tcPr>
            <w:tcW w:type="dxa" w:w="1605"/>
            <w:tcMar>
              <w:top w:w="80" w:type="dxa"/>
              <w:start w:w="100" w:type="dxa"/>
              <w:bottom w:w="80" w:type="dxa"/>
              <w:end w:w="100" w:type="dxa"/>
            </w:tcMar>
          </w:tcPr>
          <w:p>
            <w:r>
              <w:t>Mortality records are maintained.</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9.4</w:t>
            </w:r>
          </w:p>
        </w:tc>
        <w:tc>
          <w:tcPr>
            <w:tcW w:type="dxa" w:w="1605"/>
            <w:tcMar>
              <w:top w:w="80" w:type="dxa"/>
              <w:start w:w="100" w:type="dxa"/>
              <w:bottom w:w="80" w:type="dxa"/>
              <w:end w:w="100" w:type="dxa"/>
            </w:tcMar>
          </w:tcPr>
          <w:p>
            <w:r>
              <w:t>The facility has the capacity and access to monitor key water quality parameters.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9.5</w:t>
            </w:r>
          </w:p>
        </w:tc>
        <w:tc>
          <w:tcPr>
            <w:tcW w:type="dxa" w:w="1605"/>
            <w:tcMar>
              <w:top w:w="80" w:type="dxa"/>
              <w:start w:w="100" w:type="dxa"/>
              <w:bottom w:w="80" w:type="dxa"/>
              <w:end w:w="100" w:type="dxa"/>
            </w:tcMar>
          </w:tcPr>
          <w:p>
            <w:r>
              <w:t>Emergency biosecurity response procedures are in place and understood by staff.</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10.1</w:t>
            </w:r>
          </w:p>
        </w:tc>
        <w:tc>
          <w:tcPr>
            <w:tcW w:type="dxa" w:w="1605"/>
            <w:tcMar>
              <w:top w:w="80" w:type="dxa"/>
              <w:start w:w="100" w:type="dxa"/>
              <w:bottom w:w="80" w:type="dxa"/>
              <w:end w:w="100" w:type="dxa"/>
            </w:tcMar>
          </w:tcPr>
          <w:p>
            <w:r>
              <w:t>All staff members are trained in biosecurity protocols and practices.</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r>
        <w:tc>
          <w:tcPr>
            <w:tcW w:type="dxa" w:w="1605"/>
            <w:tcMar>
              <w:top w:w="80" w:type="dxa"/>
              <w:start w:w="100" w:type="dxa"/>
              <w:bottom w:w="80" w:type="dxa"/>
              <w:end w:w="100" w:type="dxa"/>
            </w:tcMar>
          </w:tcPr>
          <w:p>
            <w:r>
              <w:t>10.2</w:t>
            </w:r>
          </w:p>
        </w:tc>
        <w:tc>
          <w:tcPr>
            <w:tcW w:type="dxa" w:w="1605"/>
            <w:tcMar>
              <w:top w:w="80" w:type="dxa"/>
              <w:start w:w="100" w:type="dxa"/>
              <w:bottom w:w="80" w:type="dxa"/>
              <w:end w:w="100" w:type="dxa"/>
            </w:tcMar>
          </w:tcPr>
          <w:p>
            <w:r>
              <w:t>Any new or temporary staff have received biosecurity training.</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t>☐</w:t>
            </w:r>
          </w:p>
        </w:tc>
        <w:tc>
          <w:tcPr>
            <w:tcW w:type="dxa" w:w="1605"/>
            <w:tcMar>
              <w:top w:w="80" w:type="dxa"/>
              <w:start w:w="100" w:type="dxa"/>
              <w:bottom w:w="80" w:type="dxa"/>
              <w:end w:w="100" w:type="dxa"/>
            </w:tcMar>
          </w:tcPr>
          <w:p>
            <w:r/>
          </w:p>
        </w:tc>
      </w:tr>
    </w:tbl>
    <w:p>
      <w:r>
        <w:br w:type="page"/>
      </w:r>
    </w:p>
    <w:p>
      <w:pPr>
        <w:pStyle w:val="Heading1"/>
      </w:pPr>
      <w:r>
        <w:t>Appendix 3. Risk matrix and biosecurity risk register</w:t>
      </w:r>
    </w:p>
    <w:p>
      <w:pPr>
        <w:pStyle w:val="Heading2"/>
      </w:pPr>
      <w:r>
        <w:t>A. Risk matrix</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fill="DCE6F1"/>
            <w:tcMar>
              <w:top w:w="80" w:type="dxa"/>
              <w:start w:w="100" w:type="dxa"/>
              <w:bottom w:w="80" w:type="dxa"/>
              <w:end w:w="100" w:type="dxa"/>
            </w:tcMar>
          </w:tcPr>
          <w:p>
            <w:r>
              <w:t>Consequence \ Likelihood</w:t>
            </w:r>
          </w:p>
        </w:tc>
        <w:tc>
          <w:tcPr>
            <w:tcW w:type="dxa" w:w="1605"/>
            <w:shd w:fill="DCE6F1"/>
            <w:tcMar>
              <w:top w:w="80" w:type="dxa"/>
              <w:start w:w="100" w:type="dxa"/>
              <w:bottom w:w="80" w:type="dxa"/>
              <w:end w:w="100" w:type="dxa"/>
            </w:tcMar>
          </w:tcPr>
          <w:p>
            <w:r>
              <w:t>1 Remote</w:t>
            </w:r>
          </w:p>
        </w:tc>
        <w:tc>
          <w:tcPr>
            <w:tcW w:type="dxa" w:w="1605"/>
            <w:shd w:fill="DCE6F1"/>
            <w:tcMar>
              <w:top w:w="80" w:type="dxa"/>
              <w:start w:w="100" w:type="dxa"/>
              <w:bottom w:w="80" w:type="dxa"/>
              <w:end w:w="100" w:type="dxa"/>
            </w:tcMar>
          </w:tcPr>
          <w:p>
            <w:r>
              <w:t>2 Unlikely</w:t>
            </w:r>
          </w:p>
        </w:tc>
        <w:tc>
          <w:tcPr>
            <w:tcW w:type="dxa" w:w="1605"/>
            <w:shd w:fill="DCE6F1"/>
            <w:tcMar>
              <w:top w:w="80" w:type="dxa"/>
              <w:start w:w="100" w:type="dxa"/>
              <w:bottom w:w="80" w:type="dxa"/>
              <w:end w:w="100" w:type="dxa"/>
            </w:tcMar>
          </w:tcPr>
          <w:p>
            <w:r>
              <w:t>3 Possible</w:t>
            </w:r>
          </w:p>
        </w:tc>
        <w:tc>
          <w:tcPr>
            <w:tcW w:type="dxa" w:w="1605"/>
            <w:shd w:fill="DCE6F1"/>
            <w:tcMar>
              <w:top w:w="80" w:type="dxa"/>
              <w:start w:w="100" w:type="dxa"/>
              <w:bottom w:w="80" w:type="dxa"/>
              <w:end w:w="100" w:type="dxa"/>
            </w:tcMar>
          </w:tcPr>
          <w:p>
            <w:r>
              <w:t>4 Likely</w:t>
            </w:r>
          </w:p>
        </w:tc>
        <w:tc>
          <w:tcPr>
            <w:tcW w:type="dxa" w:w="1605"/>
            <w:shd w:fill="DCE6F1"/>
            <w:tcMar>
              <w:top w:w="80" w:type="dxa"/>
              <w:start w:w="100" w:type="dxa"/>
              <w:bottom w:w="80" w:type="dxa"/>
              <w:end w:w="100" w:type="dxa"/>
            </w:tcMar>
          </w:tcPr>
          <w:p>
            <w:r>
              <w:t>5 Almost certain</w:t>
            </w:r>
          </w:p>
        </w:tc>
      </w:tr>
      <w:tr>
        <w:tc>
          <w:tcPr>
            <w:tcW w:type="dxa" w:w="1605"/>
            <w:shd w:fill="EAF2F8"/>
            <w:tcMar>
              <w:top w:w="80" w:type="dxa"/>
              <w:start w:w="100" w:type="dxa"/>
              <w:bottom w:w="80" w:type="dxa"/>
              <w:end w:w="100" w:type="dxa"/>
            </w:tcMar>
          </w:tcPr>
          <w:p>
            <w:r>
              <w:t>1 Insignificant</w:t>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r>
      <w:tr>
        <w:tc>
          <w:tcPr>
            <w:tcW w:type="dxa" w:w="1605"/>
            <w:shd w:fill="EAF2F8"/>
            <w:tcMar>
              <w:top w:w="80" w:type="dxa"/>
              <w:start w:w="100" w:type="dxa"/>
              <w:bottom w:w="80" w:type="dxa"/>
              <w:end w:w="100" w:type="dxa"/>
            </w:tcMar>
          </w:tcPr>
          <w:p>
            <w:r>
              <w:t>2 Minor</w:t>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r>
      <w:tr>
        <w:tc>
          <w:tcPr>
            <w:tcW w:type="dxa" w:w="1605"/>
            <w:shd w:fill="EAF2F8"/>
            <w:tcMar>
              <w:top w:w="80" w:type="dxa"/>
              <w:start w:w="100" w:type="dxa"/>
              <w:bottom w:w="80" w:type="dxa"/>
              <w:end w:w="100" w:type="dxa"/>
            </w:tcMar>
          </w:tcPr>
          <w:p>
            <w:r>
              <w:t>3 Moderate</w:t>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r>
      <w:tr>
        <w:tc>
          <w:tcPr>
            <w:tcW w:type="dxa" w:w="1605"/>
            <w:shd w:fill="EAF2F8"/>
            <w:tcMar>
              <w:top w:w="80" w:type="dxa"/>
              <w:start w:w="100" w:type="dxa"/>
              <w:bottom w:w="80" w:type="dxa"/>
              <w:end w:w="100" w:type="dxa"/>
            </w:tcMar>
          </w:tcPr>
          <w:p>
            <w:r>
              <w:t>4 Major</w:t>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r>
      <w:tr>
        <w:tc>
          <w:tcPr>
            <w:tcW w:type="dxa" w:w="1605"/>
            <w:shd w:fill="EAF2F8"/>
            <w:tcMar>
              <w:top w:w="80" w:type="dxa"/>
              <w:start w:w="100" w:type="dxa"/>
              <w:bottom w:w="80" w:type="dxa"/>
              <w:end w:w="100" w:type="dxa"/>
            </w:tcMar>
          </w:tcPr>
          <w:p>
            <w:r>
              <w:t>5 Catastrophic</w:t>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c>
          <w:tcPr>
            <w:tcW w:type="dxa" w:w="1605"/>
            <w:tcMar>
              <w:top w:w="160" w:type="dxa"/>
              <w:start w:w="100" w:type="dxa"/>
              <w:bottom w:w="160" w:type="dxa"/>
              <w:end w:w="100" w:type="dxa"/>
            </w:tcMar>
          </w:tcPr>
          <w:p>
            <w:r/>
          </w:p>
        </w:tc>
      </w:tr>
    </w:tbl>
    <w:p>
      <w:pPr>
        <w:pStyle w:val="Heading2"/>
      </w:pPr>
      <w:r>
        <w:t>B. Biosecurity risk register template</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fill="DCE6F1"/>
            <w:tcMar>
              <w:top w:w="80" w:type="dxa"/>
              <w:start w:w="100" w:type="dxa"/>
              <w:bottom w:w="80" w:type="dxa"/>
              <w:end w:w="100" w:type="dxa"/>
            </w:tcMar>
          </w:tcPr>
          <w:p>
            <w:r>
              <w:t>Hazard</w:t>
            </w:r>
          </w:p>
        </w:tc>
        <w:tc>
          <w:tcPr>
            <w:tcW w:type="dxa" w:w="1605"/>
            <w:shd w:fill="DCE6F1"/>
            <w:tcMar>
              <w:top w:w="80" w:type="dxa"/>
              <w:start w:w="100" w:type="dxa"/>
              <w:bottom w:w="80" w:type="dxa"/>
              <w:end w:w="100" w:type="dxa"/>
            </w:tcMar>
          </w:tcPr>
          <w:p>
            <w:r>
              <w:t>Likelihood</w:t>
            </w:r>
          </w:p>
        </w:tc>
        <w:tc>
          <w:tcPr>
            <w:tcW w:type="dxa" w:w="1605"/>
            <w:shd w:fill="DCE6F1"/>
            <w:tcMar>
              <w:top w:w="80" w:type="dxa"/>
              <w:start w:w="100" w:type="dxa"/>
              <w:bottom w:w="80" w:type="dxa"/>
              <w:end w:w="100" w:type="dxa"/>
            </w:tcMar>
          </w:tcPr>
          <w:p>
            <w:r>
              <w:t>Consequence</w:t>
            </w:r>
          </w:p>
        </w:tc>
        <w:tc>
          <w:tcPr>
            <w:tcW w:type="dxa" w:w="1605"/>
            <w:shd w:fill="DCE6F1"/>
            <w:tcMar>
              <w:top w:w="80" w:type="dxa"/>
              <w:start w:w="100" w:type="dxa"/>
              <w:bottom w:w="80" w:type="dxa"/>
              <w:end w:w="100" w:type="dxa"/>
            </w:tcMar>
          </w:tcPr>
          <w:p>
            <w:r>
              <w:t>Unmodified risk rating</w:t>
            </w:r>
          </w:p>
        </w:tc>
        <w:tc>
          <w:tcPr>
            <w:tcW w:type="dxa" w:w="1605"/>
            <w:shd w:fill="DCE6F1"/>
            <w:tcMar>
              <w:top w:w="80" w:type="dxa"/>
              <w:start w:w="100" w:type="dxa"/>
              <w:bottom w:w="80" w:type="dxa"/>
              <w:end w:w="100" w:type="dxa"/>
            </w:tcMar>
          </w:tcPr>
          <w:p>
            <w:r>
              <w:t>Management response and control measure</w:t>
            </w:r>
          </w:p>
        </w:tc>
        <w:tc>
          <w:tcPr>
            <w:tcW w:type="dxa" w:w="1605"/>
            <w:shd w:fill="DCE6F1"/>
            <w:tcMar>
              <w:top w:w="80" w:type="dxa"/>
              <w:start w:w="100" w:type="dxa"/>
              <w:bottom w:w="80" w:type="dxa"/>
              <w:end w:w="100" w:type="dxa"/>
            </w:tcMar>
          </w:tcPr>
          <w:p>
            <w:r>
              <w:t>Modified risk rating</w:t>
            </w:r>
          </w:p>
        </w:tc>
      </w:tr>
      <w:tr>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r>
      <w:tr>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r>
      <w:tr>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c>
          <w:tcPr>
            <w:tcW w:type="dxa" w:w="1605"/>
            <w:tcMar>
              <w:top w:w="180" w:type="dxa"/>
              <w:start w:w="100" w:type="dxa"/>
              <w:bottom w:w="180" w:type="dxa"/>
              <w:end w:w="100" w:type="dxa"/>
            </w:tcMar>
          </w:tcPr>
          <w:p>
            <w:r>
              <w:br/>
            </w:r>
          </w:p>
        </w:tc>
      </w:tr>
    </w:tbl>
    <w:p>
      <w:r>
        <w:br w:type="page"/>
      </w:r>
    </w:p>
    <w:p>
      <w:pPr>
        <w:pStyle w:val="Heading1"/>
      </w:pPr>
      <w:r>
        <w:t>References</w:t>
      </w:r>
    </w:p>
    <w:p>
      <w:pPr>
        <w:ind w:left="340" w:hanging="340"/>
      </w:pPr>
      <w:r>
        <w:t>Food and Agriculture Organization of the United Nations (FAO). 2007. Biosecurity Toolkit. Rome: FAO.</w:t>
      </w:r>
    </w:p>
    <w:p>
      <w:pPr>
        <w:ind w:left="340" w:hanging="340"/>
      </w:pPr>
      <w:r>
        <w:t>World Organisation for Animal Health (WOAH). Aquatic Animal Health Code. Chapter 4.1 Biosecurity for Aquaculture Establishments.</w:t>
      </w:r>
    </w:p>
    <w:p>
      <w:pPr>
        <w:ind w:left="340" w:hanging="340"/>
      </w:pPr>
      <w:r>
        <w:t>World Organisation for Animal Health (WOAH). Aquatic Animal Health Code. Chapter 1.4 Aquatic Animal Disease Surveillance.</w:t>
      </w:r>
    </w:p>
    <w:p>
      <w:pPr>
        <w:ind w:left="340" w:hanging="340"/>
      </w:pPr>
      <w:r>
        <w:t>World Organisation for Animal Health (WOAH). Aquatic Animal Health Code. Chapter 10.11 Infection with Tilapia Lake Virus.</w:t>
      </w:r>
    </w:p>
    <w:p>
      <w:pPr>
        <w:ind w:left="340" w:hanging="340"/>
      </w:pPr>
      <w:r>
        <w:t>WorldFish. 2021. WorldFish Biosecurity Checklist.</w:t>
      </w:r>
    </w:p>
    <w:p>
      <w:pPr>
        <w:ind w:left="340" w:hanging="340"/>
      </w:pPr>
      <w:r>
        <w:t>WorldFish. 2019. Biosecurity in Tilapia Production.</w:t>
      </w:r>
    </w:p>
    <w:p>
      <w:pPr>
        <w:ind w:left="340" w:hanging="340"/>
      </w:pPr>
      <w:r>
        <w:t>Basri L, Nor RM, Salleh A, Md Yasin IS, Saad MZ, Abd Rahaman NY, Barkham T, Amal MNA. 2020. Co-Infections of Tilapia Lake Virus, Aeromonas hydrophila and Streptococcus agalactiae in Farmed Red Hybrid Tilapia. Animals 10(11):2141.</w:t>
      </w:r>
    </w:p>
    <w:p>
      <w:pPr>
        <w:ind w:left="340" w:hanging="340"/>
      </w:pPr>
      <w:r>
        <w:t>Jansen MD, Dong HT and Mohan CV. 2019. Tilapia Lake virus: a threat to the global tilapia industry? Reviews in Aquaculture 11:725–739.</w:t>
      </w:r>
    </w:p>
    <w:p>
      <w:pPr>
        <w:ind w:left="340" w:hanging="340"/>
      </w:pPr>
      <w:r>
        <w:t>Kar D. 2016. Pathology of Epizootic Ulcerative Syndrome. In: Epizootic Ulcerative Fish Disease Syndrome. Academic Press.</w:t>
      </w:r>
    </w:p>
    <w:p>
      <w:pPr>
        <w:ind w:left="340" w:hanging="340"/>
      </w:pPr>
      <w:r>
        <w:t>Valladão GMR, Alves LO and Pilarski F. 2016. Trichodiniasis in Nile tilapia hatcheries: diagnosis, parasite:host-stage relationship and treatment. Aquaculture 451:444–450.</w:t>
      </w:r>
    </w:p>
    <w:p>
      <w:pPr>
        <w:ind w:left="340" w:hanging="340"/>
      </w:pPr>
      <w:r>
        <w:t>Dong HT. Bacterial Diseases of Tilapia. Faculty of Science and Technology, Suan Sunandha Rajabhat University Fish Health Platform, CENTEX Shrimp, BIOTEC/Mahidol University.</w:t>
      </w:r>
    </w:p>
    <w:p>
      <w:pPr>
        <w:ind w:left="340" w:hanging="340"/>
      </w:pPr>
      <w:r>
        <w:t>Stevens RB. 1960. Cultural practices in disease control. In: Plant Pathology, Vol. 3. Academic Press.</w:t>
      </w:r>
    </w:p>
    <w:p>
      <w:pPr>
        <w:ind w:left="340" w:hanging="340"/>
      </w:pPr>
      <w:r>
        <w:t>Sub-Committee on Aquatic Animal Health (SCAAH). 2016. Aquaculture Farm Biosecurity Plan: Generic Guidelines and Template. Department of Agriculture and Water Resources, Canberra.</w:t>
      </w:r>
    </w:p>
    <w:sectPr w:rsidR="00FC693F" w:rsidRPr="0006063C" w:rsidSect="00034616">
      <w:headerReference w:type="default" r:id="rId9"/>
      <w:footerReference w:type="default" r:id="rId10"/>
      <w:pgSz w:w="12240" w:h="15840"/>
      <w:pgMar w:top="1247"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280"/>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6B7280"/>
        <w:sz w:val="18"/>
      </w:rPr>
      <w:t>WorldFish ARC Biosecurity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6375C"/>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6375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637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7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525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