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71CE9" w14:textId="77777777" w:rsidR="006D3A74" w:rsidRPr="00394A64" w:rsidRDefault="006D3A74" w:rsidP="006D3A74">
      <w:pPr>
        <w:spacing w:after="0"/>
        <w:rPr>
          <w:b/>
          <w:bCs/>
          <w:color w:val="FF0000"/>
        </w:rPr>
      </w:pPr>
      <w:r w:rsidRPr="00394A64">
        <w:rPr>
          <w:b/>
          <w:bCs/>
          <w:color w:val="FF0000"/>
        </w:rPr>
        <w:t>Best Practices for Aquaculture Management</w:t>
      </w:r>
    </w:p>
    <w:p w14:paraId="4470EC9C" w14:textId="15F762B2" w:rsidR="006D3A74" w:rsidRPr="00394A64" w:rsidRDefault="006D3A74" w:rsidP="006D3A74">
      <w:pPr>
        <w:spacing w:after="0"/>
        <w:rPr>
          <w:b/>
          <w:bCs/>
          <w:color w:val="FF0000"/>
        </w:rPr>
      </w:pPr>
      <w:r w:rsidRPr="00394A64">
        <w:rPr>
          <w:b/>
          <w:bCs/>
          <w:color w:val="FF0000"/>
        </w:rPr>
        <w:t>Guidance for implementing the ecosystem approach in Indonesia and beyond</w:t>
      </w:r>
      <w:r w:rsidRPr="00394A64">
        <w:rPr>
          <w:b/>
          <w:bCs/>
          <w:color w:val="FF0000"/>
        </w:rPr>
        <w:t>, 2018</w:t>
      </w:r>
    </w:p>
    <w:p w14:paraId="08C1DAA2" w14:textId="77777777" w:rsidR="006D3A74" w:rsidRDefault="006D3A74" w:rsidP="006D3A74">
      <w:pPr>
        <w:spacing w:after="0"/>
      </w:pPr>
    </w:p>
    <w:p w14:paraId="47136674" w14:textId="3B3203A0" w:rsidR="00361E02" w:rsidRDefault="006D3A74" w:rsidP="006D3A74">
      <w:pPr>
        <w:spacing w:after="0"/>
      </w:pPr>
      <w:r>
        <w:t>Farms should adhere to good husbandry practices (which may be governed by regulators or trade</w:t>
      </w:r>
      <w:r>
        <w:t xml:space="preserve"> </w:t>
      </w:r>
      <w:r>
        <w:t>bodies) that adopt appropriate stocking levels and minimize stressors. Farm staff should be trained</w:t>
      </w:r>
      <w:r>
        <w:t xml:space="preserve"> </w:t>
      </w:r>
      <w:r>
        <w:t>in recognizing clinical signs and screening for common pathogens. Farms should take part in regular</w:t>
      </w:r>
      <w:r>
        <w:t xml:space="preserve"> </w:t>
      </w:r>
      <w:r>
        <w:t>testing for specific pathogens and have appropriate support to control and manage disease from</w:t>
      </w:r>
      <w:r>
        <w:t xml:space="preserve"> </w:t>
      </w:r>
      <w:r>
        <w:t>veterinary services and governing bodies.</w:t>
      </w:r>
    </w:p>
    <w:p w14:paraId="51DCCCC0" w14:textId="77777777" w:rsidR="006D3A74" w:rsidRDefault="006D3A74" w:rsidP="006D3A74">
      <w:pPr>
        <w:spacing w:after="0"/>
      </w:pPr>
    </w:p>
    <w:p w14:paraId="24A07859" w14:textId="2E7B798B" w:rsidR="006D3A74" w:rsidRDefault="006D3A74" w:rsidP="006D3A74">
      <w:pPr>
        <w:spacing w:after="0"/>
      </w:pPr>
      <w:r>
        <w:t>Minimizing husbandry stressors such as high stock densities and handling,</w:t>
      </w:r>
      <w:r>
        <w:t xml:space="preserve"> </w:t>
      </w:r>
      <w:r>
        <w:t>and other stressors such as exposure to predators, is also important when attempting to reduce</w:t>
      </w:r>
      <w:r>
        <w:t xml:space="preserve"> </w:t>
      </w:r>
      <w:r>
        <w:t>disease impacts.</w:t>
      </w:r>
    </w:p>
    <w:p w14:paraId="0812B95A" w14:textId="77777777" w:rsidR="00E031F2" w:rsidRDefault="00E031F2" w:rsidP="006D3A74">
      <w:pPr>
        <w:spacing w:after="0"/>
      </w:pPr>
    </w:p>
    <w:p w14:paraId="08358CB1" w14:textId="77777777" w:rsidR="00E031F2" w:rsidRDefault="00E031F2" w:rsidP="006D3A74">
      <w:pPr>
        <w:spacing w:after="0"/>
      </w:pPr>
    </w:p>
    <w:p w14:paraId="20B0BD87" w14:textId="77777777" w:rsidR="00394A64" w:rsidRPr="00394A64" w:rsidRDefault="00394A64" w:rsidP="00394A64">
      <w:pPr>
        <w:spacing w:after="0"/>
        <w:rPr>
          <w:b/>
          <w:bCs/>
        </w:rPr>
      </w:pPr>
      <w:r w:rsidRPr="00394A64">
        <w:rPr>
          <w:b/>
          <w:bCs/>
        </w:rPr>
        <w:t>Disease investigation and control</w:t>
      </w:r>
    </w:p>
    <w:p w14:paraId="376399FE" w14:textId="77777777" w:rsidR="00394A64" w:rsidRPr="00394A64" w:rsidRDefault="00394A64" w:rsidP="00394A64">
      <w:pPr>
        <w:spacing w:after="0"/>
      </w:pPr>
      <w:r w:rsidRPr="00394A64">
        <w:t>If the FHI suspects a listed or emerging disease:</w:t>
      </w:r>
    </w:p>
    <w:p w14:paraId="031776B9" w14:textId="77777777" w:rsidR="00394A64" w:rsidRPr="00394A64" w:rsidRDefault="00394A64" w:rsidP="00394A64">
      <w:pPr>
        <w:numPr>
          <w:ilvl w:val="0"/>
          <w:numId w:val="1"/>
        </w:numPr>
        <w:spacing w:after="0"/>
      </w:pPr>
      <w:r w:rsidRPr="00394A64">
        <w:t>an Initial Designation Notice is made to prevent further spread of disease from the affected area by restricting movements of fish or shellfish, and through application of additional biosecurity measures when required. An initial designation notice is not made public.</w:t>
      </w:r>
    </w:p>
    <w:p w14:paraId="36325BB1" w14:textId="77777777" w:rsidR="00394A64" w:rsidRPr="00394A64" w:rsidRDefault="00394A64" w:rsidP="00394A64">
      <w:pPr>
        <w:numPr>
          <w:ilvl w:val="0"/>
          <w:numId w:val="1"/>
        </w:numPr>
        <w:spacing w:after="0"/>
      </w:pPr>
      <w:r w:rsidRPr="00394A64">
        <w:t>the FHI will carry out a disease investigation which includes collection of samples to test for the disease. Depending on the tests required it can take 14 days or more from receipt of sample at the laboratory to getting results. The FHI will advise the site operator on what to expect and keep them informed of progress.</w:t>
      </w:r>
    </w:p>
    <w:p w14:paraId="44F46FE4" w14:textId="77777777" w:rsidR="00394A64" w:rsidRPr="00394A64" w:rsidRDefault="00394A64" w:rsidP="00394A64">
      <w:pPr>
        <w:numPr>
          <w:ilvl w:val="0"/>
          <w:numId w:val="1"/>
        </w:numPr>
        <w:spacing w:after="0"/>
      </w:pPr>
      <w:r w:rsidRPr="00394A64">
        <w:t>if the tests are negative and listed or emerging disease is ruled out the Initial Designation Notice is lifted.</w:t>
      </w:r>
    </w:p>
    <w:p w14:paraId="70755F75" w14:textId="77777777" w:rsidR="00394A64" w:rsidRPr="00394A64" w:rsidRDefault="00394A64" w:rsidP="00394A64">
      <w:pPr>
        <w:spacing w:after="0"/>
      </w:pPr>
      <w:r w:rsidRPr="00394A64">
        <w:t>If a listed disease is confirmed:</w:t>
      </w:r>
    </w:p>
    <w:p w14:paraId="61DBFF57" w14:textId="77777777" w:rsidR="00394A64" w:rsidRPr="00394A64" w:rsidRDefault="00394A64" w:rsidP="00394A64">
      <w:pPr>
        <w:numPr>
          <w:ilvl w:val="0"/>
          <w:numId w:val="2"/>
        </w:numPr>
        <w:spacing w:after="0"/>
      </w:pPr>
      <w:r w:rsidRPr="00394A64">
        <w:t>a Confirmed Designation Notice (a legal order restricting movements of aquatic animals into, out of and within the affected area) is made to prevent or limit the spread of the disease from the affected area. A Confirmed Designation Notice is published on GOV.UK and signs may be put up in the affected area to inform the public.</w:t>
      </w:r>
    </w:p>
    <w:p w14:paraId="4FDFA5EA" w14:textId="77777777" w:rsidR="00394A64" w:rsidRPr="00394A64" w:rsidRDefault="00394A64" w:rsidP="00394A64">
      <w:pPr>
        <w:numPr>
          <w:ilvl w:val="0"/>
          <w:numId w:val="2"/>
        </w:numPr>
        <w:spacing w:after="0"/>
      </w:pPr>
      <w:r w:rsidRPr="00394A64">
        <w:t>further controls may include restricting vehicle and equipment movements, restricting site activities (like disposal of waste) or any other activity that could spread the disease, and additional biosecurity measures (like use of on-site equipment disinfection) may also be required.</w:t>
      </w:r>
    </w:p>
    <w:p w14:paraId="51ECDEC5" w14:textId="77777777" w:rsidR="00394A64" w:rsidRPr="00394A64" w:rsidRDefault="00394A64" w:rsidP="00394A64">
      <w:pPr>
        <w:numPr>
          <w:ilvl w:val="0"/>
          <w:numId w:val="2"/>
        </w:numPr>
        <w:spacing w:after="0"/>
      </w:pPr>
      <w:r w:rsidRPr="00394A64">
        <w:t xml:space="preserve">the FHI investigate where the disease came from and whether it has spread, and put controls on sites where the disease could have spread from or to (for example when </w:t>
      </w:r>
      <w:r w:rsidRPr="00394A64">
        <w:lastRenderedPageBreak/>
        <w:t>fish or shellfish have been moved or there are water and equipment connections) to prevent or limit further spread. These sites are also investigated on suspicion of listed disease.</w:t>
      </w:r>
    </w:p>
    <w:p w14:paraId="072B0077" w14:textId="77777777" w:rsidR="00394A64" w:rsidRPr="00394A64" w:rsidRDefault="00394A64" w:rsidP="00394A64">
      <w:pPr>
        <w:numPr>
          <w:ilvl w:val="0"/>
          <w:numId w:val="2"/>
        </w:numPr>
        <w:spacing w:after="0"/>
      </w:pPr>
      <w:r w:rsidRPr="00394A64">
        <w:t>a Confirmed Designation Notice can only be lifted when the FHI are satisfied that the disease is no longer present in the affected area. This may require the following actions: :</w:t>
      </w:r>
    </w:p>
    <w:p w14:paraId="17BD80FE" w14:textId="77777777" w:rsidR="00394A64" w:rsidRPr="00394A64" w:rsidRDefault="00394A64" w:rsidP="00394A64">
      <w:pPr>
        <w:numPr>
          <w:ilvl w:val="0"/>
          <w:numId w:val="3"/>
        </w:numPr>
        <w:spacing w:after="0"/>
      </w:pPr>
      <w:r w:rsidRPr="00394A64">
        <w:t>FHI supervise the stock cull, site clearance and disinfection.</w:t>
      </w:r>
    </w:p>
    <w:p w14:paraId="5C0A46BF" w14:textId="77777777" w:rsidR="00394A64" w:rsidRPr="00394A64" w:rsidRDefault="00394A64" w:rsidP="00394A64">
      <w:pPr>
        <w:numPr>
          <w:ilvl w:val="0"/>
          <w:numId w:val="3"/>
        </w:numPr>
        <w:spacing w:after="0"/>
      </w:pPr>
      <w:r w:rsidRPr="00394A64">
        <w:t>and/or completion of a satisfactory monitoring and retest programme by FHI - this can be up to 4 years, any re-occurrence of the disease during that period means the programme must be restarted.</w:t>
      </w:r>
    </w:p>
    <w:p w14:paraId="1148E941" w14:textId="77777777" w:rsidR="00394A64" w:rsidRPr="00394A64" w:rsidRDefault="00394A64" w:rsidP="00394A64">
      <w:pPr>
        <w:spacing w:after="0"/>
        <w:rPr>
          <w:b/>
          <w:bCs/>
        </w:rPr>
      </w:pPr>
      <w:r w:rsidRPr="00394A64">
        <w:rPr>
          <w:b/>
          <w:bCs/>
        </w:rPr>
        <w:t>Controlling serious disease outbreaks</w:t>
      </w:r>
    </w:p>
    <w:p w14:paraId="35290A40" w14:textId="77777777" w:rsidR="00394A64" w:rsidRPr="00394A64" w:rsidRDefault="00394A64" w:rsidP="00394A64">
      <w:pPr>
        <w:spacing w:after="0"/>
      </w:pPr>
      <w:r w:rsidRPr="00394A64">
        <w:t>The </w:t>
      </w:r>
      <w:hyperlink r:id="rId5" w:history="1">
        <w:r w:rsidRPr="00394A64">
          <w:rPr>
            <w:rStyle w:val="Hyperlink"/>
          </w:rPr>
          <w:t>Contingency Plan for Exotic Notifiable and Emerging Diseases of Aquatic Animals in England and Wales</w:t>
        </w:r>
      </w:hyperlink>
      <w:r w:rsidRPr="00394A64">
        <w:t> outlines how government and its operational partners prepare for and respond to serious outbreaks of listed and emerging diseases.</w:t>
      </w:r>
    </w:p>
    <w:p w14:paraId="3B806B5C" w14:textId="77777777" w:rsidR="00E031F2" w:rsidRDefault="00E031F2" w:rsidP="006D3A74">
      <w:pPr>
        <w:spacing w:after="0"/>
      </w:pPr>
    </w:p>
    <w:p w14:paraId="37CF5948" w14:textId="77777777" w:rsidR="00CB4240" w:rsidRDefault="00CB4240" w:rsidP="00CB4240">
      <w:pPr>
        <w:spacing w:after="0"/>
      </w:pPr>
      <w:r>
        <w:t>6.2 Scaling down – debriefing and lessons identified</w:t>
      </w:r>
    </w:p>
    <w:p w14:paraId="28A0FFE4" w14:textId="77777777" w:rsidR="00CB4240" w:rsidRDefault="00CB4240" w:rsidP="00CB4240">
      <w:pPr>
        <w:spacing w:after="0"/>
      </w:pPr>
      <w:r>
        <w:t>As part of the recovery phase, it will be necessary to scale back on resources once certain</w:t>
      </w:r>
    </w:p>
    <w:p w14:paraId="43859469" w14:textId="77777777" w:rsidR="00CB4240" w:rsidRDefault="00CB4240" w:rsidP="00CB4240">
      <w:pPr>
        <w:spacing w:after="0"/>
      </w:pPr>
      <w:r>
        <w:t>parts of the outbreak or incident management response are completed. The CVO UK, the</w:t>
      </w:r>
    </w:p>
    <w:p w14:paraId="769B5E07" w14:textId="77777777" w:rsidR="00CB4240" w:rsidRDefault="00CB4240" w:rsidP="00CB4240">
      <w:pPr>
        <w:spacing w:after="0"/>
      </w:pPr>
      <w:r>
        <w:t>relevant deputy director of APHW, the Head of FHI and the NDCC Director will decide</w:t>
      </w:r>
    </w:p>
    <w:p w14:paraId="4173233C" w14:textId="77777777" w:rsidR="00CB4240" w:rsidRDefault="00CB4240" w:rsidP="00CB4240">
      <w:pPr>
        <w:spacing w:after="0"/>
      </w:pPr>
      <w:r>
        <w:t>when it is appropriate to de-escalate and reduce the battle rhythm. When operations are at</w:t>
      </w:r>
    </w:p>
    <w:p w14:paraId="791B95D3" w14:textId="77777777" w:rsidR="00CB4240" w:rsidRDefault="00CB4240" w:rsidP="00CB4240">
      <w:pPr>
        <w:spacing w:after="0"/>
      </w:pPr>
      <w:r>
        <w:t>a sufficiently low level, they will agree the timing of the closure of outbreak structures.</w:t>
      </w:r>
    </w:p>
    <w:p w14:paraId="324FC879" w14:textId="77777777" w:rsidR="00CB4240" w:rsidRDefault="00CB4240" w:rsidP="00CB4240">
      <w:pPr>
        <w:spacing w:after="0"/>
      </w:pPr>
      <w:r>
        <w:t>6.3 Debriefing and lessons identified</w:t>
      </w:r>
    </w:p>
    <w:p w14:paraId="39CA9782" w14:textId="77777777" w:rsidR="00CB4240" w:rsidRDefault="00CB4240" w:rsidP="00CB4240">
      <w:pPr>
        <w:spacing w:after="0"/>
      </w:pPr>
      <w:r>
        <w:t>At the conclusion of a disease outbreak, it is good practice to conduct debriefings with</w:t>
      </w:r>
    </w:p>
    <w:p w14:paraId="2C232FFE" w14:textId="77777777" w:rsidR="00CB4240" w:rsidRDefault="00CB4240" w:rsidP="00CB4240">
      <w:pPr>
        <w:spacing w:after="0"/>
      </w:pPr>
      <w:r>
        <w:t>those involved to capture experiences. The aim is to identify and evaluate where</w:t>
      </w:r>
    </w:p>
    <w:p w14:paraId="5CF4EDFA" w14:textId="77777777" w:rsidR="00CB4240" w:rsidRDefault="00CB4240" w:rsidP="00CB4240">
      <w:pPr>
        <w:spacing w:after="0"/>
      </w:pPr>
      <w:r>
        <w:t>improvements to disease response capability, processes and organisational structures for</w:t>
      </w:r>
    </w:p>
    <w:p w14:paraId="3B5A6D55" w14:textId="77777777" w:rsidR="00CB4240" w:rsidRDefault="00CB4240" w:rsidP="00CB4240">
      <w:pPr>
        <w:spacing w:after="0"/>
      </w:pPr>
      <w:r>
        <w:t>managing an outbreak of an exotic notifiable or emerging disease can be made. The</w:t>
      </w:r>
    </w:p>
    <w:p w14:paraId="172123BB" w14:textId="77777777" w:rsidR="00CB4240" w:rsidRDefault="00CB4240" w:rsidP="00CB4240">
      <w:pPr>
        <w:spacing w:after="0"/>
      </w:pPr>
      <w:r>
        <w:t>feedback from relevant personnel departments, operational partners and stakeholders</w:t>
      </w:r>
    </w:p>
    <w:p w14:paraId="6D648C35" w14:textId="77777777" w:rsidR="00CB4240" w:rsidRDefault="00CB4240" w:rsidP="00CB4240">
      <w:pPr>
        <w:spacing w:after="0"/>
      </w:pPr>
      <w:r>
        <w:t>should be recorded. The report will provide the framework for improvements of the</w:t>
      </w:r>
    </w:p>
    <w:p w14:paraId="4563ADD6" w14:textId="77777777" w:rsidR="00CB4240" w:rsidRDefault="00CB4240" w:rsidP="00CB4240">
      <w:pPr>
        <w:spacing w:after="0"/>
      </w:pPr>
      <w:r>
        <w:t>response to and management of disease outbreaks and the review of contingency plans</w:t>
      </w:r>
    </w:p>
    <w:p w14:paraId="131E78F8" w14:textId="1C10C9D4" w:rsidR="00CB4240" w:rsidRDefault="00CB4240" w:rsidP="00CB4240">
      <w:pPr>
        <w:spacing w:after="0"/>
      </w:pPr>
      <w:r>
        <w:t>and operational instructions.</w:t>
      </w:r>
    </w:p>
    <w:p w14:paraId="68D270DB" w14:textId="3D09F71F" w:rsidR="005E24EF" w:rsidRDefault="005E24EF" w:rsidP="00CB4240">
      <w:pPr>
        <w:spacing w:after="0"/>
      </w:pPr>
      <w:r w:rsidRPr="005E24EF">
        <w:lastRenderedPageBreak/>
        <w:drawing>
          <wp:inline distT="0" distB="0" distL="0" distR="0" wp14:anchorId="425A262C" wp14:editId="6AF951F6">
            <wp:extent cx="5943600" cy="3060700"/>
            <wp:effectExtent l="0" t="0" r="0" b="6350"/>
            <wp:docPr id="91311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1741" name=""/>
                    <pic:cNvPicPr/>
                  </pic:nvPicPr>
                  <pic:blipFill>
                    <a:blip r:embed="rId6"/>
                    <a:stretch>
                      <a:fillRect/>
                    </a:stretch>
                  </pic:blipFill>
                  <pic:spPr>
                    <a:xfrm>
                      <a:off x="0" y="0"/>
                      <a:ext cx="5943600" cy="3060700"/>
                    </a:xfrm>
                    <a:prstGeom prst="rect">
                      <a:avLst/>
                    </a:prstGeom>
                  </pic:spPr>
                </pic:pic>
              </a:graphicData>
            </a:graphic>
          </wp:inline>
        </w:drawing>
      </w:r>
    </w:p>
    <w:p w14:paraId="5D5E622E" w14:textId="3B9B6B54" w:rsidR="00F55B34" w:rsidRDefault="00F55B34" w:rsidP="00CB4240">
      <w:pPr>
        <w:spacing w:after="0"/>
      </w:pPr>
      <w:r w:rsidRPr="00F55B34">
        <w:drawing>
          <wp:inline distT="0" distB="0" distL="0" distR="0" wp14:anchorId="54714F0E" wp14:editId="29CA34A0">
            <wp:extent cx="5943600" cy="3575685"/>
            <wp:effectExtent l="0" t="0" r="0" b="5715"/>
            <wp:docPr id="1127276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76826" name=""/>
                    <pic:cNvPicPr/>
                  </pic:nvPicPr>
                  <pic:blipFill>
                    <a:blip r:embed="rId7"/>
                    <a:stretch>
                      <a:fillRect/>
                    </a:stretch>
                  </pic:blipFill>
                  <pic:spPr>
                    <a:xfrm>
                      <a:off x="0" y="0"/>
                      <a:ext cx="5943600" cy="3575685"/>
                    </a:xfrm>
                    <a:prstGeom prst="rect">
                      <a:avLst/>
                    </a:prstGeom>
                  </pic:spPr>
                </pic:pic>
              </a:graphicData>
            </a:graphic>
          </wp:inline>
        </w:drawing>
      </w:r>
    </w:p>
    <w:sectPr w:rsidR="00F55B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759F2"/>
    <w:multiLevelType w:val="multilevel"/>
    <w:tmpl w:val="E2B6F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E373D4"/>
    <w:multiLevelType w:val="multilevel"/>
    <w:tmpl w:val="AC06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D0D0C10"/>
    <w:multiLevelType w:val="multilevel"/>
    <w:tmpl w:val="ED1E1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8317748">
    <w:abstractNumId w:val="2"/>
  </w:num>
  <w:num w:numId="2" w16cid:durableId="573197992">
    <w:abstractNumId w:val="0"/>
  </w:num>
  <w:num w:numId="3" w16cid:durableId="15484959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A74"/>
    <w:rsid w:val="00361E02"/>
    <w:rsid w:val="00394A64"/>
    <w:rsid w:val="003D22FB"/>
    <w:rsid w:val="004A0852"/>
    <w:rsid w:val="00540BA2"/>
    <w:rsid w:val="005E24EF"/>
    <w:rsid w:val="006D3A74"/>
    <w:rsid w:val="00B22DEE"/>
    <w:rsid w:val="00CB4240"/>
    <w:rsid w:val="00E031F2"/>
    <w:rsid w:val="00F55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7F2ED"/>
  <w15:chartTrackingRefBased/>
  <w15:docId w15:val="{184083AE-3B5A-4D5E-883C-54496E2BE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A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3A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3A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3A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3A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3A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A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A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A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A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3A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3A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3A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3A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3A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A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A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A74"/>
    <w:rPr>
      <w:rFonts w:eastAsiaTheme="majorEastAsia" w:cstheme="majorBidi"/>
      <w:color w:val="272727" w:themeColor="text1" w:themeTint="D8"/>
    </w:rPr>
  </w:style>
  <w:style w:type="paragraph" w:styleId="Title">
    <w:name w:val="Title"/>
    <w:basedOn w:val="Normal"/>
    <w:next w:val="Normal"/>
    <w:link w:val="TitleChar"/>
    <w:uiPriority w:val="10"/>
    <w:qFormat/>
    <w:rsid w:val="006D3A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A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A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A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A74"/>
    <w:pPr>
      <w:spacing w:before="160"/>
      <w:jc w:val="center"/>
    </w:pPr>
    <w:rPr>
      <w:i/>
      <w:iCs/>
      <w:color w:val="404040" w:themeColor="text1" w:themeTint="BF"/>
    </w:rPr>
  </w:style>
  <w:style w:type="character" w:customStyle="1" w:styleId="QuoteChar">
    <w:name w:val="Quote Char"/>
    <w:basedOn w:val="DefaultParagraphFont"/>
    <w:link w:val="Quote"/>
    <w:uiPriority w:val="29"/>
    <w:rsid w:val="006D3A74"/>
    <w:rPr>
      <w:i/>
      <w:iCs/>
      <w:color w:val="404040" w:themeColor="text1" w:themeTint="BF"/>
    </w:rPr>
  </w:style>
  <w:style w:type="paragraph" w:styleId="ListParagraph">
    <w:name w:val="List Paragraph"/>
    <w:basedOn w:val="Normal"/>
    <w:uiPriority w:val="34"/>
    <w:qFormat/>
    <w:rsid w:val="006D3A74"/>
    <w:pPr>
      <w:ind w:left="720"/>
      <w:contextualSpacing/>
    </w:pPr>
  </w:style>
  <w:style w:type="character" w:styleId="IntenseEmphasis">
    <w:name w:val="Intense Emphasis"/>
    <w:basedOn w:val="DefaultParagraphFont"/>
    <w:uiPriority w:val="21"/>
    <w:qFormat/>
    <w:rsid w:val="006D3A74"/>
    <w:rPr>
      <w:i/>
      <w:iCs/>
      <w:color w:val="0F4761" w:themeColor="accent1" w:themeShade="BF"/>
    </w:rPr>
  </w:style>
  <w:style w:type="paragraph" w:styleId="IntenseQuote">
    <w:name w:val="Intense Quote"/>
    <w:basedOn w:val="Normal"/>
    <w:next w:val="Normal"/>
    <w:link w:val="IntenseQuoteChar"/>
    <w:uiPriority w:val="30"/>
    <w:qFormat/>
    <w:rsid w:val="006D3A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3A74"/>
    <w:rPr>
      <w:i/>
      <w:iCs/>
      <w:color w:val="0F4761" w:themeColor="accent1" w:themeShade="BF"/>
    </w:rPr>
  </w:style>
  <w:style w:type="character" w:styleId="IntenseReference">
    <w:name w:val="Intense Reference"/>
    <w:basedOn w:val="DefaultParagraphFont"/>
    <w:uiPriority w:val="32"/>
    <w:qFormat/>
    <w:rsid w:val="006D3A74"/>
    <w:rPr>
      <w:b/>
      <w:bCs/>
      <w:smallCaps/>
      <w:color w:val="0F4761" w:themeColor="accent1" w:themeShade="BF"/>
      <w:spacing w:val="5"/>
    </w:rPr>
  </w:style>
  <w:style w:type="character" w:styleId="Hyperlink">
    <w:name w:val="Hyperlink"/>
    <w:basedOn w:val="DefaultParagraphFont"/>
    <w:uiPriority w:val="99"/>
    <w:unhideWhenUsed/>
    <w:rsid w:val="00394A64"/>
    <w:rPr>
      <w:color w:val="467886" w:themeColor="hyperlink"/>
      <w:u w:val="single"/>
    </w:rPr>
  </w:style>
  <w:style w:type="character" w:styleId="UnresolvedMention">
    <w:name w:val="Unresolved Mention"/>
    <w:basedOn w:val="DefaultParagraphFont"/>
    <w:uiPriority w:val="99"/>
    <w:semiHidden/>
    <w:unhideWhenUsed/>
    <w:rsid w:val="00394A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0781599">
      <w:bodyDiv w:val="1"/>
      <w:marLeft w:val="0"/>
      <w:marRight w:val="0"/>
      <w:marTop w:val="0"/>
      <w:marBottom w:val="0"/>
      <w:divBdr>
        <w:top w:val="none" w:sz="0" w:space="0" w:color="auto"/>
        <w:left w:val="none" w:sz="0" w:space="0" w:color="auto"/>
        <w:bottom w:val="none" w:sz="0" w:space="0" w:color="auto"/>
        <w:right w:val="none" w:sz="0" w:space="0" w:color="auto"/>
      </w:divBdr>
      <w:divsChild>
        <w:div w:id="1213031811">
          <w:marLeft w:val="0"/>
          <w:marRight w:val="0"/>
          <w:marTop w:val="240"/>
          <w:marBottom w:val="240"/>
          <w:divBdr>
            <w:top w:val="none" w:sz="0" w:space="0" w:color="auto"/>
            <w:left w:val="none" w:sz="0" w:space="0" w:color="auto"/>
            <w:bottom w:val="none" w:sz="0" w:space="0" w:color="auto"/>
            <w:right w:val="none" w:sz="0" w:space="0" w:color="auto"/>
          </w:divBdr>
        </w:div>
        <w:div w:id="81343162">
          <w:marLeft w:val="0"/>
          <w:marRight w:val="0"/>
          <w:marTop w:val="240"/>
          <w:marBottom w:val="240"/>
          <w:divBdr>
            <w:top w:val="none" w:sz="0" w:space="0" w:color="auto"/>
            <w:left w:val="none" w:sz="0" w:space="0" w:color="auto"/>
            <w:bottom w:val="none" w:sz="0" w:space="0" w:color="auto"/>
            <w:right w:val="none" w:sz="0" w:space="0" w:color="auto"/>
          </w:divBdr>
        </w:div>
      </w:divsChild>
    </w:div>
    <w:div w:id="837774536">
      <w:bodyDiv w:val="1"/>
      <w:marLeft w:val="0"/>
      <w:marRight w:val="0"/>
      <w:marTop w:val="0"/>
      <w:marBottom w:val="0"/>
      <w:divBdr>
        <w:top w:val="none" w:sz="0" w:space="0" w:color="auto"/>
        <w:left w:val="none" w:sz="0" w:space="0" w:color="auto"/>
        <w:bottom w:val="none" w:sz="0" w:space="0" w:color="auto"/>
        <w:right w:val="none" w:sz="0" w:space="0" w:color="auto"/>
      </w:divBdr>
    </w:div>
    <w:div w:id="1770002661">
      <w:bodyDiv w:val="1"/>
      <w:marLeft w:val="0"/>
      <w:marRight w:val="0"/>
      <w:marTop w:val="0"/>
      <w:marBottom w:val="0"/>
      <w:divBdr>
        <w:top w:val="none" w:sz="0" w:space="0" w:color="auto"/>
        <w:left w:val="none" w:sz="0" w:space="0" w:color="auto"/>
        <w:bottom w:val="none" w:sz="0" w:space="0" w:color="auto"/>
        <w:right w:val="none" w:sz="0" w:space="0" w:color="auto"/>
      </w:divBdr>
    </w:div>
    <w:div w:id="1925408827">
      <w:bodyDiv w:val="1"/>
      <w:marLeft w:val="0"/>
      <w:marRight w:val="0"/>
      <w:marTop w:val="0"/>
      <w:marBottom w:val="0"/>
      <w:divBdr>
        <w:top w:val="none" w:sz="0" w:space="0" w:color="auto"/>
        <w:left w:val="none" w:sz="0" w:space="0" w:color="auto"/>
        <w:bottom w:val="none" w:sz="0" w:space="0" w:color="auto"/>
        <w:right w:val="none" w:sz="0" w:space="0" w:color="auto"/>
      </w:divBdr>
      <w:divsChild>
        <w:div w:id="214050159">
          <w:marLeft w:val="0"/>
          <w:marRight w:val="0"/>
          <w:marTop w:val="240"/>
          <w:marBottom w:val="240"/>
          <w:divBdr>
            <w:top w:val="none" w:sz="0" w:space="0" w:color="auto"/>
            <w:left w:val="none" w:sz="0" w:space="0" w:color="auto"/>
            <w:bottom w:val="none" w:sz="0" w:space="0" w:color="auto"/>
            <w:right w:val="none" w:sz="0" w:space="0" w:color="auto"/>
          </w:divBdr>
        </w:div>
        <w:div w:id="782304106">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gov.uk/government/publications/contingency-plan-for-exotic-notifiable-and-emerging-diseases-of-aquatic-animals-in-england-and-wal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TotalTime>
  <Pages>3</Pages>
  <Words>679</Words>
  <Characters>3875</Characters>
  <Application>Microsoft Office Word</Application>
  <DocSecurity>0</DocSecurity>
  <Lines>32</Lines>
  <Paragraphs>9</Paragraphs>
  <ScaleCrop>false</ScaleCrop>
  <Company/>
  <LinksUpToDate>false</LinksUpToDate>
  <CharactersWithSpaces>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Mahmuddin, Mahirah (WorldFish)</dc:creator>
  <cp:keywords/>
  <dc:description/>
  <cp:lastModifiedBy>Mahmuddin, Mahirah (WorldFish)</cp:lastModifiedBy>
  <cp:revision>7</cp:revision>
  <dcterms:created xsi:type="dcterms:W3CDTF">2025-03-11T03:08:00Z</dcterms:created>
  <dcterms:modified xsi:type="dcterms:W3CDTF">2025-03-11T05:15:00Z</dcterms:modified>
</cp:coreProperties>
</file>