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研发工作量评估"/>
    <w:p>
      <w:pPr>
        <w:pStyle w:val="Heading1"/>
      </w:pPr>
      <w:r>
        <w:t xml:space="preserve">研发工作量评估</w:t>
      </w:r>
    </w:p>
    <w:bookmarkStart w:id="20" w:name="文档信息"/>
    <w:p>
      <w:pPr>
        <w:pStyle w:val="Heading2"/>
      </w:pPr>
      <w:r>
        <w:t xml:space="preserve">文档信息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文档版本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修订日期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修订人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修订描述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2025-09-04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项目组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bookmarkEnd w:id="20"/>
    <w:bookmarkStart w:id="23" w:name="Xd63e3b0f1a7f53de2ddc1fb4b45da93fd215226"/>
    <w:p>
      <w:pPr>
        <w:pStyle w:val="Heading2"/>
      </w:pPr>
      <w:r>
        <w:t xml:space="preserve">1. 项目概述</w:t>
      </w:r>
    </w:p>
    <w:bookmarkStart w:id="21" w:name="Xf37f26906dc3b85be432e83a60052066ea8a614"/>
    <w:p>
      <w:pPr>
        <w:pStyle w:val="Heading3"/>
      </w:pPr>
      <w:r>
        <w:t xml:space="preserve">1.1 项目背景</w:t>
      </w:r>
    </w:p>
    <w:p>
      <w:pPr>
        <w:pStyle w:val="FirstParagraph"/>
      </w:pPr>
      <w:r>
        <w:t xml:space="preserve">飞机发动机QEC拆装智能化系统（二期）在一期基础上，引入AI与RAG能力，建设四大模块：维修知识库管理、维修规划及资源智能化、生产看板、发动机检测辅助。总体采用分层架构（展示/应用/平台/数据/基础设施），技术栈以 Python/Flask、Next.js、PostgreSQL、向量数据库、Redis、MQ、对象存储为主，Docker/Helm 部署。约束：项目周期≤12个月，需与SAP、文档管理系统等对接，符合企业安全规范。</w:t>
      </w:r>
    </w:p>
    <w:bookmarkEnd w:id="21"/>
    <w:bookmarkStart w:id="22" w:name="X563efa9362e4348d8c23861fdec898b1d1bacc4"/>
    <w:p>
      <w:pPr>
        <w:pStyle w:val="Heading3"/>
      </w:pPr>
      <w:r>
        <w:t xml:space="preserve">1.2 项目范围</w:t>
      </w:r>
    </w:p>
    <w:p>
      <w:pPr>
        <w:numPr>
          <w:ilvl w:val="0"/>
          <w:numId w:val="1001"/>
        </w:numPr>
      </w:pPr>
      <w:r>
        <w:t xml:space="preserve">在范围：</w:t>
      </w:r>
    </w:p>
    <w:p>
      <w:pPr>
        <w:numPr>
          <w:ilvl w:val="1"/>
          <w:numId w:val="1002"/>
        </w:numPr>
      </w:pPr>
      <w:r>
        <w:t xml:space="preserve">维修知识库管理（知识接入/解析/分段/索引/检索/问答、元数据、权限与审计、质量评测、外部KB接入、限流等）</w:t>
      </w:r>
    </w:p>
    <w:p>
      <w:pPr>
        <w:numPr>
          <w:ilvl w:val="1"/>
          <w:numId w:val="1002"/>
        </w:numPr>
      </w:pPr>
      <w:r>
        <w:t xml:space="preserve">智能问答与检索定位（RAG、混合检索、重排、引用可追溯）</w:t>
      </w:r>
    </w:p>
    <w:p>
      <w:pPr>
        <w:numPr>
          <w:ilvl w:val="1"/>
          <w:numId w:val="1002"/>
        </w:numPr>
      </w:pPr>
      <w:r>
        <w:t xml:space="preserve">生产看板（计划/进度/资源/工位看板、实时刷新）</w:t>
      </w:r>
    </w:p>
    <w:p>
      <w:pPr>
        <w:numPr>
          <w:ilvl w:val="1"/>
          <w:numId w:val="1002"/>
        </w:numPr>
      </w:pPr>
      <w:r>
        <w:t xml:space="preserve">发动机检测辅助（任务/执行/结果/预警、报告生成）</w:t>
      </w:r>
    </w:p>
    <w:p>
      <w:pPr>
        <w:numPr>
          <w:ilvl w:val="1"/>
          <w:numId w:val="1002"/>
        </w:numPr>
      </w:pPr>
      <w:r>
        <w:t xml:space="preserve">基础设施与运维（监控、日志、备份、部署）</w:t>
      </w:r>
    </w:p>
    <w:p>
      <w:pPr>
        <w:numPr>
          <w:ilvl w:val="0"/>
          <w:numId w:val="1001"/>
        </w:numPr>
      </w:pPr>
      <w:r>
        <w:t xml:space="preserve">不在范围：SAP内部实现、物流运输流程、硬件采购选型等。</w:t>
      </w:r>
    </w:p>
    <w:bookmarkEnd w:id="22"/>
    <w:bookmarkEnd w:id="23"/>
    <w:bookmarkStart w:id="28" w:name="X33b7c1e8922c6d86f26ef712484269241ce0e52"/>
    <w:p>
      <w:pPr>
        <w:pStyle w:val="Heading2"/>
      </w:pPr>
      <w:r>
        <w:t xml:space="preserve">2. 工作量评估</w:t>
      </w:r>
    </w:p>
    <w:p>
      <w:pPr>
        <w:pStyle w:val="FirstParagraph"/>
      </w:pPr>
      <w:r>
        <w:t xml:space="preserve">说明：以下估算基于设计文档明确的范围与复杂度，按“工作包”拆分，单位为人日（理想工时），未含团队同步与管理损耗（建议新增15%管理/沟通/缓冲系数）。标注“待澄清”的项已在第5章给出假设与缺口。</w:t>
      </w:r>
    </w:p>
    <w:bookmarkStart w:id="24" w:name="Xedbba21f06620551794f901b6b765d660ac5e67"/>
    <w:p>
      <w:pPr>
        <w:pStyle w:val="Heading3"/>
      </w:pPr>
      <w:r>
        <w:t xml:space="preserve">2.1 功能模块划分（概览）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模块名称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复杂度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维修知识库管理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知识接入/解析/分段/索引、文档与分段维护、权限审计、质量治理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智能问答（RAG）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多轮问答、检索增强、引用追溯、会话/反馈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检索与定位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混合检索、父子分段上下文、重排与手册定位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元数据管理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字段治理、批量标注、筛选过滤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外部知识库接入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标准化结果合并、降级与熔断、监控告警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维修规划及资源智能化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计划生成/调整、资源优化、冲突解决（详细待补充）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高（待澄清）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生产看板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计划/进度/资源/工位可视化与实时刷新（详细待补充）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中（待澄清）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发动机检测辅助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检测任务/执行/分析/预警（详细待补充）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高（待澄清）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平台与运维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部署、监控、日志、备份、限流与安全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</w:tr>
    </w:tbl>
    <w:bookmarkEnd w:id="24"/>
    <w:bookmarkStart w:id="25" w:name="Xa5a13702beeadd640372db0867122979039286b"/>
    <w:p>
      <w:pPr>
        <w:pStyle w:val="Heading3"/>
      </w:pPr>
      <w:r>
        <w:t xml:space="preserve">2.2 工作包与估算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工作包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主要交付物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依赖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估算(人日)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优先级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数据集/文档/分段CRUD与状态机、API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Dataset/Document/Segment 全流程、状态机、分页检索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基础框架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解析与索引流水线（Worker+队列+VDB）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解析/分段/Embedding/索引写入、失败重试、进度查询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对象存储、VDB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混合检索与重排（父子分段合并）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向量+关键词检索、MMR/启发式/可选Rerank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VDB/FTS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元数据字段与批量标注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字段CRUD、批量赋值、校验、索引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检索质量评测与策略版本化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测试台、A/B、门禁与回滚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检索服务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外部知识库连接器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配置/鉴权、标准化合并、超时降级与监控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网络、密管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权限与审计、限流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RBAC/资源级权限、审计日志、令牌桶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统一网关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智能问答RAG编排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会话/消息/反馈、引用可追溯、流式应答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检索服务/LLM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维修规划与资源智能化（里程碑版）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需求梳理Spike(10) + 核心流程实现(50)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SAP/KB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生产看板（里程碑版）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需求梳理Spike(8) + 看板页面/聚合(32)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规划/实时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发动机检测辅助（里程碑版）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需求梳理Spike(12) + 检测流程/报告(48)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设备/KB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前端Web（Next.js）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KB管理、分段维护、检索测试台、基础看板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后端API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部署与运维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Docker/Helm、监控/日志、备份、环境差异化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中间件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性能优化与压测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压测场景/脚本、热点缓存、参数调优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全链路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安全与合规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传输/存储加密、密钥管理、合规审计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安全基线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</w:tr>
    </w:tbl>
    <w:p>
      <w:pPr>
        <w:pStyle w:val="TextBody"/>
      </w:pPr>
      <w:r>
        <w:t xml:space="preserve">合计（不含管理缓冲）：约 565 人日；建议加15%缓冲（沟通/集成/不确定性）≈ 650 人日。</w:t>
      </w:r>
    </w:p>
    <w:p>
      <w:pPr>
        <w:pStyle w:val="TextBody"/>
      </w:pPr>
      <w:r>
        <w:t xml:space="preserve">说明：规划、看板、检测模块目前详细设计占位较多，估算以“里程碑可用版”为目标，后续按增量迭代补强。</w:t>
      </w:r>
    </w:p>
    <w:bookmarkEnd w:id="25"/>
    <w:bookmarkStart w:id="26" w:name="X898c5c1cd2a76bfbb8bdf582c12ea416a3188dc"/>
    <w:p>
      <w:pPr>
        <w:pStyle w:val="Heading3"/>
      </w:pPr>
      <w:r>
        <w:t xml:space="preserve">2.3 人力资源评估（建议团队）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角色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人数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主要工作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参与阶段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项目经理/交付经理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计划/进度/风险/干系人沟通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架构师/Tech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架构/技术把关/关键难题攻关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设计/开发/性能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后端工程师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API/服务/队列/DB/VDB/检索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开发/联调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前端工程师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Next.js页面/交互/看板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开发/联调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算法/LLM工程师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Embedding/Rerank/RAG策略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设计/开发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测试工程师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用例/自动化/性能/安全测试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测试/验收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DevOps/SRE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CI/CD、监控、部署、容量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搭建/上线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UI/UX（兼职）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信息架构/交互设计/视觉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设计/开发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数据/ETL（兼职）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解析/清洗/词表治理支持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开发</w:t>
            </w:r>
          </w:p>
        </w:tc>
      </w:tr>
    </w:tbl>
    <w:bookmarkEnd w:id="26"/>
    <w:bookmarkStart w:id="27" w:name="X1f2bcab315f95aaf7ba7152de27dd237e054506"/>
    <w:p>
      <w:pPr>
        <w:pStyle w:val="Heading3"/>
      </w:pPr>
      <w:r>
        <w:t xml:space="preserve">2.4 时间评估与里程碑（建议）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阶段/里程碑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工作日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主要交付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M0 需求/方案冻结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需求清单、接口契约、里程碑计划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含跨系统对齐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 KB/RAG基础可用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KB CRUD/解析索引/混检/问答最小闭环、基础前端、部署监控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P0完成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 质量与治理增强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元数据、质量评测/AB、审计/限流、安全、性能优化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P1完成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 规划与看板Beta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规划核心流程、基础看板联动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P2部分完成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 检测辅助Beta与收尾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检测流程与报告、稳定性/文档/验收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全量联调</w:t>
            </w:r>
          </w:p>
        </w:tc>
      </w:tr>
    </w:tbl>
    <w:p>
      <w:pPr>
        <w:pStyle w:val="TextBody"/>
      </w:pPr>
      <w:r>
        <w:t xml:space="preserve">总计约170个工作日（团队并行可缩短至约7个月内完成交付）。实际开始/结束日期由立项后排期落表。</w:t>
      </w:r>
    </w:p>
    <w:bookmarkEnd w:id="27"/>
    <w:bookmarkEnd w:id="28"/>
    <w:bookmarkStart w:id="29" w:name="Xce6917d7f2a4c60516cb83060faf3fe8e45b743"/>
    <w:p>
      <w:pPr>
        <w:pStyle w:val="Heading2"/>
      </w:pPr>
      <w:r>
        <w:t xml:space="preserve">3. 风险评估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风险描述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可能性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影响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应对措施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向量数据库性能与稳定性不足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选型评估与压测；分片+副本；降级关键词检索；启用缓存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LLM/MaaS接口不稳定或成本超标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多供应商备份；流量限额；离线/本地推理兜底；提示词与上下文预算器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文档解析失败率高/格式多样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多解析器并行；失败回退人工；解析沙箱隔离与白名单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与SAP/文档系统对接不确定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尽早对齐接口契约/沙箱账号；设计适配层与重试机制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权限与审计合规要求变更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采用RBAC与审计通用组件；预留策略配置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模块详细设计缺失导致返工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先行Spike澄清需求；里程碑切片交付；预留15%缓冲</w:t>
            </w:r>
          </w:p>
        </w:tc>
      </w:tr>
    </w:tbl>
    <w:bookmarkEnd w:id="29"/>
    <w:bookmarkStart w:id="33" w:name="X092aa35b21b46d78624f7f261d21413c4fa5aa1"/>
    <w:p>
      <w:pPr>
        <w:pStyle w:val="Heading2"/>
      </w:pPr>
      <w:r>
        <w:t xml:space="preserve">4. 资源需求</w:t>
      </w:r>
    </w:p>
    <w:bookmarkStart w:id="30" w:name="Xf458041a72d374d2d2307b459f7f86a054eae5e"/>
    <w:p>
      <w:pPr>
        <w:pStyle w:val="Heading3"/>
      </w:pPr>
      <w:r>
        <w:t xml:space="preserve">4.1 硬件/环境（建议基线）</w:t>
      </w:r>
    </w:p>
    <w:p>
      <w:pPr>
        <w:numPr>
          <w:ilvl w:val="0"/>
          <w:numId w:val="1003"/>
        </w:numPr>
      </w:pPr>
      <w:r>
        <w:t xml:space="preserve">开发/测试：2C/8GiB×若干；VDB按量独立</w:t>
      </w:r>
    </w:p>
    <w:p>
      <w:pPr>
        <w:numPr>
          <w:ilvl w:val="0"/>
          <w:numId w:val="1003"/>
        </w:numPr>
      </w:pPr>
      <w:r>
        <w:t xml:space="preserve">预生产：4C/16GiB×3（API/Worker/Web分开），独立PG/Redis/VDB</w:t>
      </w:r>
    </w:p>
    <w:p>
      <w:pPr>
        <w:numPr>
          <w:ilvl w:val="0"/>
          <w:numId w:val="1003"/>
        </w:numPr>
      </w:pPr>
      <w:r>
        <w:t xml:space="preserve">生产：8C/16GiB×5（API/Worker/Web多副本），PG主从、Redis集群、VDB集群；对象存储与备份空间</w:t>
      </w:r>
    </w:p>
    <w:bookmarkEnd w:id="30"/>
    <w:bookmarkStart w:id="31" w:name="X78d32da82f87c8dd4c4479e1ebeafc1fc95da7f"/>
    <w:p>
      <w:pPr>
        <w:pStyle w:val="Heading3"/>
      </w:pPr>
      <w:r>
        <w:t xml:space="preserve">4.2 软件与中间件</w:t>
      </w:r>
    </w:p>
    <w:p>
      <w:pPr>
        <w:numPr>
          <w:ilvl w:val="0"/>
          <w:numId w:val="1004"/>
        </w:numPr>
      </w:pPr>
      <w:r>
        <w:t xml:space="preserve">PostgreSQL 15+（含pgvector或外部VDB：Qdrant/Weaviate/Milvus择一）</w:t>
      </w:r>
    </w:p>
    <w:p>
      <w:pPr>
        <w:numPr>
          <w:ilvl w:val="0"/>
          <w:numId w:val="1004"/>
        </w:numPr>
      </w:pPr>
      <w:r>
        <w:t xml:space="preserve">Redis、消息队列、全文检索(Elasticsearch/OpenSearch 可选)</w:t>
      </w:r>
    </w:p>
    <w:p>
      <w:pPr>
        <w:numPr>
          <w:ilvl w:val="0"/>
          <w:numId w:val="1004"/>
        </w:numPr>
      </w:pPr>
      <w:r>
        <w:t xml:space="preserve">Docker/Helm、Prometheus/Grafana、ELK/Opensearch Logs</w:t>
      </w:r>
    </w:p>
    <w:p>
      <w:pPr>
        <w:numPr>
          <w:ilvl w:val="0"/>
          <w:numId w:val="1004"/>
        </w:numPr>
      </w:pPr>
      <w:r>
        <w:t xml:space="preserve">身份/权限：OIDC/SAML对接、API-Key与RBAC</w:t>
      </w:r>
    </w:p>
    <w:bookmarkEnd w:id="31"/>
    <w:bookmarkStart w:id="32" w:name="X15c25e1abd5df61339f017c530b4758b704ff98"/>
    <w:p>
      <w:pPr>
        <w:pStyle w:val="Heading3"/>
      </w:pPr>
      <w:r>
        <w:t xml:space="preserve">4.3 其他资源</w:t>
      </w:r>
    </w:p>
    <w:p>
      <w:pPr>
        <w:numPr>
          <w:ilvl w:val="0"/>
          <w:numId w:val="1005"/>
        </w:numPr>
      </w:pPr>
      <w:r>
        <w:t xml:space="preserve">外部系统对接沙箱（SAP、文档管理）与测试账号</w:t>
      </w:r>
    </w:p>
    <w:p>
      <w:pPr>
        <w:numPr>
          <w:ilvl w:val="0"/>
          <w:numId w:val="1005"/>
        </w:numPr>
      </w:pPr>
      <w:r>
        <w:t xml:space="preserve">模型/向量服务密钥（含备用供应商）与密钥管理（KMS）</w:t>
      </w:r>
    </w:p>
    <w:p>
      <w:pPr>
        <w:numPr>
          <w:ilvl w:val="0"/>
          <w:numId w:val="1005"/>
        </w:numPr>
      </w:pPr>
      <w:r>
        <w:t xml:space="preserve">维修手册与历史数据样本、词表治理评审机制</w:t>
      </w:r>
    </w:p>
    <w:bookmarkEnd w:id="32"/>
    <w:bookmarkEnd w:id="33"/>
    <w:bookmarkStart w:id="34" w:name="X9d20f9c27bb1fc0bf582720631dd0266e39bc61"/>
    <w:p>
      <w:pPr>
        <w:pStyle w:val="Heading2"/>
      </w:pPr>
      <w:r>
        <w:t xml:space="preserve">5. 设计不清晰项与假设</w:t>
      </w:r>
    </w:p>
    <w:p>
      <w:pPr>
        <w:numPr>
          <w:ilvl w:val="0"/>
          <w:numId w:val="1006"/>
        </w:numPr>
      </w:pPr>
      <w:r>
        <w:t xml:space="preserve">维修规划与资源智能化：算法/优化策略与与SAP数据契约待明确（当前估算按“里程碑可用版”预留60人日）</w:t>
      </w:r>
    </w:p>
    <w:p>
      <w:pPr>
        <w:numPr>
          <w:ilvl w:val="0"/>
          <w:numId w:val="1006"/>
        </w:numPr>
      </w:pPr>
      <w:r>
        <w:t xml:space="preserve">生产看板：看板维度与实时通道（WebSocket/轮询/中间件）待确认（预留40人日）</w:t>
      </w:r>
    </w:p>
    <w:p>
      <w:pPr>
        <w:numPr>
          <w:ilvl w:val="0"/>
          <w:numId w:val="1006"/>
        </w:numPr>
      </w:pPr>
      <w:r>
        <w:t xml:space="preserve">发动机检测辅助：设备类型/接入协议/分析算法待明确（预留60人日）</w:t>
      </w:r>
    </w:p>
    <w:p>
      <w:pPr>
        <w:numPr>
          <w:ilvl w:val="0"/>
          <w:numId w:val="1006"/>
        </w:numPr>
      </w:pPr>
      <w:r>
        <w:t xml:space="preserve">LLM与Rerank模型选型与配额策略未定（按多供应商可切换假设估算）</w:t>
      </w:r>
    </w:p>
    <w:p>
      <w:pPr>
        <w:numPr>
          <w:ilvl w:val="0"/>
          <w:numId w:val="1006"/>
        </w:numPr>
      </w:pPr>
      <w:r>
        <w:t xml:space="preserve">向量数据库选型（Qdrant/Weaviate/Milvus/Pgvector）与部署规模待压测确认</w:t>
      </w:r>
    </w:p>
    <w:bookmarkEnd w:id="34"/>
    <w:bookmarkStart w:id="35" w:name="X4185e26450b834ed06efc02b50ea8d84df9332a"/>
    <w:p>
      <w:pPr>
        <w:pStyle w:val="Heading2"/>
      </w:pPr>
      <w:r>
        <w:t xml:space="preserve">6. 结论与建议</w:t>
      </w:r>
    </w:p>
    <w:p>
      <w:pPr>
        <w:numPr>
          <w:ilvl w:val="0"/>
          <w:numId w:val="1007"/>
        </w:numPr>
      </w:pPr>
      <w:r>
        <w:t xml:space="preserve">建议以“P0最小可用闭环（KB+检索+问答+部署）→ P1质量治理与安全 → P2行业模块Beta”的三段式交付，控制范围与风险。</w:t>
      </w:r>
    </w:p>
    <w:p>
      <w:pPr>
        <w:numPr>
          <w:ilvl w:val="0"/>
          <w:numId w:val="1007"/>
        </w:numPr>
      </w:pPr>
      <w:r>
        <w:t xml:space="preserve">立项即锁定关键选型（VDB/LLM/全文检索），并完成M0压测与对接沙箱准备。</w:t>
      </w:r>
    </w:p>
    <w:p>
      <w:pPr>
        <w:numPr>
          <w:ilvl w:val="0"/>
          <w:numId w:val="1007"/>
        </w:numPr>
      </w:pPr>
      <w:r>
        <w:t xml:space="preserve">采用里程碑与A/B评测门禁机制，确保检索/问答质量达标后再扩展到规划/看板/检测模块。</w:t>
      </w:r>
    </w:p>
    <w:p>
      <w:pPr>
        <w:numPr>
          <w:ilvl w:val="0"/>
          <w:numId w:val="1007"/>
        </w:numPr>
      </w:pPr>
      <w:r>
        <w:t xml:space="preserve">建议全程保留≥15%缓冲与风险储备，避免因外部依赖与不确定性导致工期失控。</w:t>
      </w:r>
    </w:p>
    <w:bookmarkEnd w:id="35"/>
    <w:bookmarkEnd w:id="36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苹方-简">
    <w:charset w:val="01"/>
    <w:family w:val="auto"/>
    <w:pitch w:val="default"/>
  </w:font>
  <w:font w:name="Calibri">
    <w:charset w:val="01"/>
    <w:family w:val="auto"/>
    <w:pitch w:val="default"/>
  </w:font>
  <w:font w:name="Consolas">
    <w:charset w:val="01"/>
    <w:family w:val="auto"/>
    <w:pitch w:val="default"/>
  </w:font>
  <w:font w:name="苹方-简"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宋体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苹方-简" w:cs="宋体" w:cstheme="minorBidi" w:eastAsia="苹方-简" w:hAnsi="苹方-简"/>
      <w:color w:val="auto"/>
      <w:kern w:val="0"/>
      <w:sz w:val="24"/>
      <w:szCs w:val="24"/>
      <w:lang w:bidi="ar-SA" w:eastAsia="zh-CN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苹方-简" w:cs="宋体" w:cstheme="majorBidi" w:eastAsia="苹方-简" w:hAnsi="苹方-简"/>
      <w:b/>
      <w:bCs/>
      <w:color w:val="000000"/>
      <w:sz w:val="32"/>
      <w:szCs w:val="32"/>
      <w:lang w:eastAsia="zh-CN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苹方-简" w:cs="宋体" w:cstheme="majorBidi" w:eastAsia="苹方-简" w:hAnsi="苹方-简"/>
      <w:b/>
      <w:bCs/>
      <w:color w:val="000000"/>
      <w:sz w:val="28"/>
      <w:szCs w:val="28"/>
      <w:lang w:eastAsia="zh-CN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苹方-简" w:cs="宋体" w:cstheme="majorBidi" w:eastAsia="苹方-简" w:hAnsi="苹方-简"/>
      <w:b/>
      <w:bCs/>
      <w:color w:val="000000"/>
      <w:sz w:val="24"/>
      <w:szCs w:val="24"/>
      <w:lang w:eastAsia="zh-CN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苹方-简" w:cs="宋体" w:cstheme="majorBidi" w:eastAsia="苹方-简" w:hAnsi="苹方-简"/>
      <w:bCs/>
      <w:i/>
      <w:color w:val="000000"/>
      <w:sz w:val="24"/>
      <w:szCs w:val="24"/>
      <w:lang w:eastAsia="zh-CN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苹方-简" w:cs="宋体" w:cstheme="majorBidi" w:eastAsia="苹方-简" w:hAnsi="苹方-简"/>
      <w:iCs/>
      <w:color w:val="000000"/>
      <w:sz w:val="24"/>
      <w:szCs w:val="24"/>
      <w:lang w:eastAsia="zh-CN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苹方-简" w:cs="宋体" w:cstheme="majorBidi" w:eastAsia="苹方-简" w:hAnsi="苹方-简"/>
      <w:color w:val="000000"/>
      <w:sz w:val="24"/>
      <w:szCs w:val="24"/>
      <w:lang w:eastAsia="zh-CN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宋体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宋体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宋体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苹方-简" w:cs="Lucida Sans" w:eastAsia="苹方-简" w:hAnsi="苹方-简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rFonts w:ascii="苹方-简" w:eastAsia="苹方-简" w:hAnsi="苹方-简"/>
      <w:lang w:eastAsia="zh-CN"/>
    </w:rPr>
  </w:style>
  <w:style w:styleId="List" w:type="paragraph">
    <w:name w:val="List"/>
    <w:basedOn w:val="TextBody"/>
    <w:pPr/>
    <w:rPr>
      <w:rFonts w:ascii="苹方-简" w:cs="Lucida Sans" w:eastAsia="苹方-简" w:hAnsi="苹方-简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ascii="苹方-简" w:cs="Lucida Sans" w:eastAsia="苹方-简" w:hAnsi="苹方-简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widowControl w:val="false"/>
      <w:suppressAutoHyphens w:val="true"/>
      <w:spacing w:after="36" w:before="36"/>
      <w:jc w:val="left"/>
    </w:pPr>
    <w:rPr>
      <w:rFonts w:ascii="苹方-简" w:hAnsi="苹方-简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苹方-简" w:cs="宋体" w:cstheme="majorBidi" w:eastAsia="苹方-简" w:hAnsi="苹方-简"/>
      <w:b/>
      <w:bCs/>
      <w:color w:themeShade="b5" w:val="000000"/>
      <w:sz w:val="44"/>
      <w:szCs w:val="36"/>
      <w:lang w:eastAsia="zh-CN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宋体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宋体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宋体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ListContents" w:type="paragraph">
    <w:name w:val="List Contents"/>
    <w:basedOn w:val="Normal"/>
    <w:qFormat/>
    <w:pPr>
      <w:ind w:hanging="0" w:left="567"/>
    </w:pPr>
    <w:rPr>
      <w:rFonts w:ascii="苹方-简" w:eastAsia="苹方-简" w:hAnsi="苹方-简"/>
      <w:lang w:eastAsia="zh-CN"/>
    </w:rPr>
  </w:style>
  <w:style w:styleId="ListHeading" w:type="paragraph">
    <w:name w:val="List Heading"/>
    <w:basedOn w:val="Normal"/>
    <w:next w:val="ListContents"/>
    <w:qFormat/>
    <w:pPr>
      <w:ind w:hanging="0"/>
    </w:pPr>
    <w:rPr>
      <w:rFonts w:ascii="苹方-简" w:eastAsia="苹方-简" w:hAnsi="苹方-简"/>
      <w:lang w:eastAsia="zh-CN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苹方-简" w:eastAsia="苹方-简" w:hAnsi="苹方-简"/>
      <w:lang w:eastAsia="zh-CN"/>
    </w:rPr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LibreOffice/7.4.5.1$MacOSX_X86_64 LibreOffice_project/9c0871452b3918c1019dde9bfac75448afc4b57f</Application>
  <AppVersion>15.0000</AppVersion>
  <Pages>2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2025-09-05T03:23:46Z</dcterms:created>
  <dcterms:modified xsi:type="dcterms:W3CDTF">2025-09-05T03:23:46Z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