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系统测试报告"/>
    <w:p>
      <w:pPr>
        <w:pStyle w:val="Heading1"/>
      </w:pPr>
      <w:r>
        <w:t xml:space="preserve">系统测试报告</w:t>
      </w:r>
    </w:p>
    <w:bookmarkStart w:id="20" w:name="X536af297054ffdd44bb9359783bf1591ca41ede"/>
    <w:p>
      <w:pPr>
        <w:pStyle w:val="Heading2"/>
      </w:pPr>
      <w:r>
        <w:t xml:space="preserve">1. 摘要</w:t>
      </w:r>
    </w:p>
    <w:p>
      <w:pPr>
        <w:numPr>
          <w:ilvl w:val="0"/>
          <w:numId w:val="1001"/>
        </w:numPr>
      </w:pPr>
      <w:r>
        <w:t xml:space="preserve">发布目标与范围: 覆盖“飞机发动机QEC拆装智能化系统二期”的端到端质量验证（后端API、前端Web、数据处理、外部系统集成）。依据需求/设计与《系统测试方案》执行。</w:t>
      </w:r>
    </w:p>
    <w:p>
      <w:pPr>
        <w:numPr>
          <w:ilvl w:val="0"/>
          <w:numId w:val="1001"/>
        </w:numPr>
      </w:pPr>
      <w:r>
        <w:t xml:space="preserve">测试周期: 暂无数据（待提供实际执行起止日期）</w:t>
      </w:r>
    </w:p>
    <w:p>
      <w:pPr>
        <w:numPr>
          <w:ilvl w:val="0"/>
          <w:numId w:val="1001"/>
        </w:numPr>
      </w:pPr>
      <w:r>
        <w:t xml:space="preserve">结论建议: 需满足前置条件（用例执行与缺陷数据尚不完整，当前不建议发布）</w:t>
      </w:r>
    </w:p>
    <w:p>
      <w:pPr>
        <w:numPr>
          <w:ilvl w:val="0"/>
          <w:numId w:val="1001"/>
        </w:numPr>
      </w:pPr>
      <w:r>
        <w:t xml:space="preserve">关键指标摘要: 执行率 暂无数据，通过率 暂无数据，阻塞率 暂无数据，缺陷总数 暂无数据（P0 暂无/P1 暂无/P2 暂无）</w:t>
      </w:r>
    </w:p>
    <w:p>
      <w:pPr>
        <w:pStyle w:val="FirstParagraph"/>
      </w:pPr>
      <w:r>
        <w:t xml:space="preserve">数据来源说明: 当前收到的执行与缺陷数据仅见模块“元数据管理”中 1 条用例有实际结果（通过）。其余未见执行记录或缺陷登记。所有缺失项以“暂无数据/不适用”标注，不做臆测。</w:t>
      </w:r>
    </w:p>
    <w:bookmarkEnd w:id="20"/>
    <w:bookmarkStart w:id="21" w:name="X6fc5c7a51ca30a9b88c0faa28cbc69c0ab2e2b1"/>
    <w:p>
      <w:pPr>
        <w:pStyle w:val="Heading2"/>
      </w:pPr>
      <w:r>
        <w:t xml:space="preserve">2. 范围与对象</w:t>
      </w:r>
    </w:p>
    <w:p>
      <w:pPr>
        <w:numPr>
          <w:ilvl w:val="0"/>
          <w:numId w:val="1002"/>
        </w:numPr>
      </w:pPr>
      <w:r>
        <w:t xml:space="preserve">模块/接口/平台:</w:t>
      </w:r>
    </w:p>
    <w:p>
      <w:pPr>
        <w:numPr>
          <w:ilvl w:val="1"/>
          <w:numId w:val="1003"/>
        </w:numPr>
      </w:pPr>
      <w:r>
        <w:t xml:space="preserve">维修知识库管理（手册/历史记录/经验/工程文件接入、索引、问答、定位、质量治理）</w:t>
      </w:r>
    </w:p>
    <w:p>
      <w:pPr>
        <w:numPr>
          <w:ilvl w:val="1"/>
          <w:numId w:val="1003"/>
        </w:numPr>
      </w:pPr>
      <w:r>
        <w:t xml:space="preserve">维修规划及资源智能化（计划生成/调整、航材/人员/工具管理）</w:t>
      </w:r>
    </w:p>
    <w:p>
      <w:pPr>
        <w:numPr>
          <w:ilvl w:val="1"/>
          <w:numId w:val="1003"/>
        </w:numPr>
      </w:pPr>
      <w:r>
        <w:t xml:space="preserve">生产看板（计划/进度/资源/工位）</w:t>
      </w:r>
    </w:p>
    <w:p>
      <w:pPr>
        <w:numPr>
          <w:ilvl w:val="1"/>
          <w:numId w:val="1003"/>
        </w:numPr>
      </w:pPr>
      <w:r>
        <w:t xml:space="preserve">发动机检测辅助（任务、执行、报告、预警）</w:t>
      </w:r>
    </w:p>
    <w:p>
      <w:pPr>
        <w:numPr>
          <w:ilvl w:val="1"/>
          <w:numId w:val="1003"/>
        </w:numPr>
      </w:pPr>
      <w:r>
        <w:t xml:space="preserve">对外接口：RESTful API、消息通道；对接 SAP/文档管理/HR/工具管理</w:t>
      </w:r>
    </w:p>
    <w:p>
      <w:pPr>
        <w:numPr>
          <w:ilvl w:val="0"/>
          <w:numId w:val="1002"/>
        </w:numPr>
      </w:pPr>
      <w:r>
        <w:t xml:space="preserve">不在范围: 外部系统内部实现、物流运输环节、非项目要求的移动端专有特性</w:t>
      </w:r>
    </w:p>
    <w:p>
      <w:pPr>
        <w:numPr>
          <w:ilvl w:val="0"/>
          <w:numId w:val="1002"/>
        </w:numPr>
      </w:pPr>
      <w:r>
        <w:t xml:space="preserve">依赖与前置: 外部系统沙箱/Mock、向量/嵌入服务、监控/日志平台、测试数据与账号</w:t>
      </w:r>
    </w:p>
    <w:p>
      <w:pPr>
        <w:pStyle w:val="FirstParagraph"/>
      </w:pPr>
      <w:r>
        <w:t xml:space="preserve">来源: 《需求规格说明书》《概要设计说明书》《系统测试方案》</w:t>
      </w:r>
    </w:p>
    <w:bookmarkEnd w:id="21"/>
    <w:bookmarkStart w:id="23" w:name="X28c0617bdae054eb87f8a17874827fa232078e5"/>
    <w:p>
      <w:pPr>
        <w:pStyle w:val="Heading2"/>
      </w:pPr>
      <w:r>
        <w:t xml:space="preserve">3. 环境与版本</w:t>
      </w:r>
    </w:p>
    <w:p>
      <w:pPr>
        <w:numPr>
          <w:ilvl w:val="0"/>
          <w:numId w:val="1004"/>
        </w:numPr>
      </w:pPr>
      <w:r>
        <w:t xml:space="preserve">环境: DEV/TEST/STG（具体域名/凭据待补充）</w:t>
      </w:r>
    </w:p>
    <w:p>
      <w:pPr>
        <w:numPr>
          <w:ilvl w:val="0"/>
          <w:numId w:val="1004"/>
        </w:numPr>
      </w:pPr>
      <w:r>
        <w:t xml:space="preserve">构建: 暂无数据（建议提供 commit/tag/流水线链接）</w:t>
      </w:r>
    </w:p>
    <w:p>
      <w:pPr>
        <w:numPr>
          <w:ilvl w:val="0"/>
          <w:numId w:val="1004"/>
        </w:numPr>
      </w:pPr>
      <w:r>
        <w:t xml:space="preserve">配置差异: 与生产/上版差异暂未提供；测试方案给出拓扑与Compose/K8s建议</w:t>
      </w:r>
    </w:p>
    <w:p>
      <w:pPr>
        <w:numPr>
          <w:ilvl w:val="0"/>
          <w:numId w:val="1004"/>
        </w:numPr>
      </w:pPr>
      <w:r>
        <w:t xml:space="preserve">参考:</w:t>
      </w:r>
    </w:p>
    <w:p>
      <w:pPr>
        <w:numPr>
          <w:ilvl w:val="1"/>
          <w:numId w:val="1005"/>
        </w:numPr>
      </w:pPr>
      <w:r>
        <w:t xml:space="preserve">部署方式: Docker Compose / K8s（可选）</w:t>
      </w:r>
    </w:p>
    <w:p>
      <w:pPr>
        <w:numPr>
          <w:ilvl w:val="1"/>
          <w:numId w:val="1005"/>
        </w:numPr>
      </w:pPr>
      <w:r>
        <w:t xml:space="preserve">后端框架: Python Flask（api/）</w:t>
      </w:r>
    </w:p>
    <w:p>
      <w:pPr>
        <w:numPr>
          <w:ilvl w:val="1"/>
          <w:numId w:val="1005"/>
        </w:numPr>
      </w:pPr>
      <w:r>
        <w:t xml:space="preserve">数据库: PostgreSQL 14+ / pgvector</w:t>
      </w:r>
    </w:p>
    <w:p>
      <w:pPr>
        <w:numPr>
          <w:ilvl w:val="1"/>
          <w:numId w:val="1005"/>
        </w:numPr>
      </w:pPr>
      <w:r>
        <w:t xml:space="preserve">缓存: Redis 6+</w:t>
      </w:r>
    </w:p>
    <w:p>
      <w:pPr>
        <w:numPr>
          <w:ilvl w:val="1"/>
          <w:numId w:val="1005"/>
        </w:numPr>
      </w:pPr>
      <w:r>
        <w:t xml:space="preserve">前端: 管理端 Web</w:t>
      </w:r>
    </w:p>
    <w:p>
      <w:pPr>
        <w:numPr>
          <w:ilvl w:val="1"/>
          <w:numId w:val="1005"/>
        </w:numPr>
      </w:pPr>
      <w:r>
        <w:t xml:space="preserve">监控: Prometheus/Grafana（建议）</w:t>
      </w:r>
    </w:p>
    <w:p>
      <w:pPr>
        <w:numPr>
          <w:ilvl w:val="1"/>
          <w:numId w:val="1005"/>
        </w:numPr>
      </w:pPr>
      <w:r>
        <w:t xml:space="preserve">资产: Nginx 反向代理</w:t>
      </w:r>
    </w:p>
    <w:p>
      <w:pPr>
        <w:numPr>
          <w:ilvl w:val="0"/>
          <w:numId w:val="1004"/>
        </w:numPr>
      </w:pPr>
      <w:r>
        <w:t xml:space="preserve">可达性验证（来自测试方案）:</w:t>
      </w:r>
    </w:p>
    <w:p>
      <w:pPr>
        <w:numPr>
          <w:ilvl w:val="1"/>
          <w:numId w:val="1006"/>
        </w:numPr>
      </w:pPr>
      <w:r>
        <w:t xml:space="preserve">知识库管理测试URL:</w:t>
      </w:r>
      <w:r>
        <w:t xml:space="preserve"> </w:t>
      </w:r>
      <w:hyperlink r:id="rId22">
        <w:r>
          <w:rPr>
            <w:rStyle w:val="InternetLink"/>
          </w:rPr>
          <w:t xml:space="preserve">http://app.anyremote.cn:8183/datasets</w:t>
        </w:r>
      </w:hyperlink>
      <w:r>
        <w:t xml:space="preserve"> </w:t>
      </w:r>
      <w:r>
        <w:t xml:space="preserve">（页面可达性200）</w:t>
      </w:r>
    </w:p>
    <w:bookmarkEnd w:id="23"/>
    <w:bookmarkStart w:id="25" w:name="X212695147b65b6c18f788b2781a1d36dc738021"/>
    <w:p>
      <w:pPr>
        <w:pStyle w:val="Heading2"/>
      </w:pPr>
      <w:r>
        <w:t xml:space="preserve">4. 用例执行情况</w:t>
      </w:r>
    </w:p>
    <w:p>
      <w:pPr>
        <w:numPr>
          <w:ilvl w:val="0"/>
          <w:numId w:val="1007"/>
        </w:numPr>
      </w:pPr>
      <w:r>
        <w:t xml:space="preserve">用例总数: 暂无数据，执行: 暂无数据（执行率 暂无数据），通过: 暂无数据（通过率 暂无数据）</w:t>
      </w:r>
    </w:p>
    <w:p>
      <w:pPr>
        <w:numPr>
          <w:ilvl w:val="0"/>
          <w:numId w:val="1007"/>
        </w:numPr>
      </w:pPr>
      <w:r>
        <w:t xml:space="preserve">失败: 暂无数据，阻塞: 暂无数据</w:t>
      </w:r>
    </w:p>
    <w:p>
      <w:pPr>
        <w:numPr>
          <w:ilvl w:val="0"/>
          <w:numId w:val="1007"/>
        </w:numPr>
      </w:pPr>
      <w:r>
        <w:t xml:space="preserve">类型维度（设计口径）: 功能/接口/UI/性能/安全/兼容/回归（参考《系统测试方案》）</w:t>
      </w:r>
    </w:p>
    <w:p>
      <w:pPr>
        <w:pStyle w:val="FirstParagraph"/>
      </w:pPr>
      <w:r>
        <w:t xml:space="preserve">说明: 目前仅在“元数据管理”模块发现 1 条用例实际执行记录并显示“通过”；建议后续补充全量执行台账或导出测试平台执行报告。</w:t>
      </w:r>
    </w:p>
    <w:bookmarkStart w:id="24" w:name="Xef77cbc59dcf10be0ca0cf49760deb403bd9d71"/>
    <w:p>
      <w:pPr>
        <w:pStyle w:val="Heading3"/>
      </w:pPr>
      <w:r>
        <w:t xml:space="preserve">4.1 明细表（节选，含已执行记录）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新增元数据字段（正常）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证据: docs/使用说明/images/元数据管理_1.png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字段名校验（非法）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字段重命名同步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删除字段二次确认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批量赋值文档元数据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KB-META-006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必填元数据缺失阻断上线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TC-KB-001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手册PDF上传并索引成功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接入/功能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方案节选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TC-KB-010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问答：限定型号/版本+引用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方案节选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TC-KB-011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手册定位精确章节跳转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方案节选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TC-KB-020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检索质量门禁未达阈值阻断发布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方案节选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RBAC权限控制与审计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方案节选</w:t>
            </w:r>
          </w:p>
        </w:tc>
      </w:tr>
    </w:tbl>
    <w:p>
      <w:pPr>
        <w:pStyle w:val="TextBody"/>
      </w:pPr>
      <w:r>
        <w:t xml:space="preserve">数据来源: docs/测试用例/知识库管理_*.md 与《系统测试方案》6.2/6.4 节</w:t>
      </w:r>
    </w:p>
    <w:bookmarkEnd w:id="24"/>
    <w:bookmarkEnd w:id="25"/>
    <w:bookmarkStart w:id="26" w:name="X79ae4673e9a84169bc685336db4660335df5a42"/>
    <w:p>
      <w:pPr>
        <w:pStyle w:val="Heading2"/>
      </w:pPr>
      <w:r>
        <w:t xml:space="preserve">5. 缺陷统计与分析</w:t>
      </w:r>
    </w:p>
    <w:p>
      <w:pPr>
        <w:numPr>
          <w:ilvl w:val="0"/>
          <w:numId w:val="1008"/>
        </w:numPr>
      </w:pPr>
      <w:r>
        <w:t xml:space="preserve">缺陷总数: 暂无数据（P0 暂无/P1 暂无/P2 暂无）</w:t>
      </w:r>
    </w:p>
    <w:p>
      <w:pPr>
        <w:numPr>
          <w:ilvl w:val="0"/>
          <w:numId w:val="1008"/>
        </w:numPr>
      </w:pPr>
      <w:r>
        <w:t xml:space="preserve">修复率: 暂无数据，重开率: 暂无数据</w:t>
      </w:r>
    </w:p>
    <w:p>
      <w:pPr>
        <w:numPr>
          <w:ilvl w:val="0"/>
          <w:numId w:val="1008"/>
        </w:numPr>
      </w:pPr>
      <w:r>
        <w:t xml:space="preserve">平均修复时长: 暂无数据</w:t>
      </w:r>
    </w:p>
    <w:p>
      <w:pPr>
        <w:numPr>
          <w:ilvl w:val="0"/>
          <w:numId w:val="1008"/>
        </w:numPr>
      </w:pPr>
      <w:r>
        <w:t xml:space="preserve">缺陷密度: 暂无数据</w:t>
      </w:r>
    </w:p>
    <w:p>
      <w:pPr>
        <w:pStyle w:val="FirstParagraph"/>
      </w:pPr>
      <w:r>
        <w:t xml:space="preserve">说明: 本次未提供缺陷平台导出或登记明细，建议补充缺陷列表链接或附录快照。</w:t>
      </w:r>
    </w:p>
    <w:bookmarkEnd w:id="26"/>
    <w:bookmarkStart w:id="30" w:name="Xa6dc569f87dceae9c01c115179617bc6e8e053b"/>
    <w:p>
      <w:pPr>
        <w:pStyle w:val="Heading2"/>
      </w:pPr>
      <w:r>
        <w:t xml:space="preserve">6. 性能与稳定性（如适用）</w:t>
      </w:r>
    </w:p>
    <w:p>
      <w:pPr>
        <w:numPr>
          <w:ilvl w:val="0"/>
          <w:numId w:val="1009"/>
        </w:numPr>
      </w:pPr>
      <w:r>
        <w:t xml:space="preserve">基准对比: 暂无数据（无上版对比/基线）</w:t>
      </w:r>
    </w:p>
    <w:p>
      <w:pPr>
        <w:numPr>
          <w:ilvl w:val="0"/>
          <w:numId w:val="1009"/>
        </w:numPr>
      </w:pPr>
      <w:r>
        <w:t xml:space="preserve">SLA/SLO 目标（口径对齐《需求/测试方案》）:</w:t>
      </w:r>
    </w:p>
    <w:p>
      <w:pPr>
        <w:numPr>
          <w:ilvl w:val="1"/>
          <w:numId w:val="1010"/>
        </w:numPr>
      </w:pPr>
      <w:r>
        <w:t xml:space="preserve">页面加载: 普通≤2s，数据密集≤5s</w:t>
      </w:r>
    </w:p>
    <w:p>
      <w:pPr>
        <w:numPr>
          <w:ilvl w:val="1"/>
          <w:numId w:val="1010"/>
        </w:numPr>
      </w:pPr>
      <w:r>
        <w:t xml:space="preserve">问答响应: 简单≤3s，复杂≤10s（占位符可替换）</w:t>
      </w:r>
    </w:p>
    <w:p>
      <w:pPr>
        <w:numPr>
          <w:ilvl w:val="1"/>
          <w:numId w:val="1010"/>
        </w:numPr>
      </w:pPr>
      <w:r>
        <w:t xml:space="preserve">计划生成: 简单≤10s，复杂≤60s</w:t>
      </w:r>
    </w:p>
    <w:p>
      <w:pPr>
        <w:numPr>
          <w:ilvl w:val="1"/>
          <w:numId w:val="1010"/>
        </w:numPr>
      </w:pPr>
      <w:r>
        <w:t xml:space="preserve">错误率&lt;0.1%，CPU&lt;70%，内存&lt;75%，稳定性24h无泄漏</w:t>
      </w:r>
    </w:p>
    <w:p>
      <w:pPr>
        <w:numPr>
          <w:ilvl w:val="0"/>
          <w:numId w:val="1009"/>
        </w:numPr>
      </w:pPr>
      <w:r>
        <w:t xml:space="preserve">线上/沙箱演练: 暂无数据</w:t>
      </w:r>
    </w:p>
    <w:bookmarkStart w:id="27" w:name="X32ff75426447195f048b13feda03aaa60dfd34a"/>
    <w:p>
      <w:pPr>
        <w:pStyle w:val="Heading3"/>
      </w:pPr>
      <w:r>
        <w:t xml:space="preserve">6.1 性能测试结果</w:t>
      </w:r>
    </w:p>
    <w:p>
      <w:pPr>
        <w:numPr>
          <w:ilvl w:val="0"/>
          <w:numId w:val="1011"/>
        </w:numPr>
      </w:pPr>
      <w:r>
        <w:t xml:space="preserve">工具/方法: 建议 k6/JMeter + Prometheus/Grafana；方案已提供示例与观测指标</w:t>
      </w:r>
    </w:p>
    <w:p>
      <w:pPr>
        <w:numPr>
          <w:ilvl w:val="0"/>
          <w:numId w:val="1011"/>
        </w:numPr>
      </w:pPr>
      <w:r>
        <w:t xml:space="preserve">结果小结: 暂无数据（未提供采样原始数据、趋势图或制品链接）</w:t>
      </w:r>
    </w:p>
    <w:bookmarkEnd w:id="27"/>
    <w:bookmarkStart w:id="28" w:name="X73669c39fb91bd73a70f894d7f18e6f375e5ccf"/>
    <w:p>
      <w:pPr>
        <w:pStyle w:val="Heading3"/>
      </w:pPr>
      <w:r>
        <w:t xml:space="preserve">6.2 安全测试评估</w:t>
      </w:r>
    </w:p>
    <w:p>
      <w:pPr>
        <w:numPr>
          <w:ilvl w:val="0"/>
          <w:numId w:val="1012"/>
        </w:numPr>
      </w:pPr>
      <w:r>
        <w:t xml:space="preserve">覆盖面（设计口径）: 认证鉴权、RBAC与数据域、访问控制、限流、审计、OWASP Top 10</w:t>
      </w:r>
    </w:p>
    <w:p>
      <w:pPr>
        <w:numPr>
          <w:ilvl w:val="0"/>
          <w:numId w:val="1012"/>
        </w:numPr>
      </w:pPr>
      <w:r>
        <w:t xml:space="preserve">结果小结: 暂无数据（未提供ZAP/渗透/手工验证记录）</w:t>
      </w:r>
    </w:p>
    <w:p>
      <w:pPr>
        <w:numPr>
          <w:ilvl w:val="0"/>
          <w:numId w:val="1012"/>
        </w:numPr>
      </w:pPr>
      <w:r>
        <w:t xml:space="preserve">设计符合性要点（来自设计/方案）:</w:t>
      </w:r>
    </w:p>
    <w:p>
      <w:pPr>
        <w:numPr>
          <w:ilvl w:val="1"/>
          <w:numId w:val="1013"/>
        </w:numPr>
      </w:pPr>
      <w:r>
        <w:t xml:space="preserve">API-Key/SSO/Least Privilege、Dataset/Document/Segment 粒度权限、审计留痕≥12个月</w:t>
      </w:r>
    </w:p>
    <w:p>
      <w:pPr>
        <w:numPr>
          <w:ilvl w:val="1"/>
          <w:numId w:val="1013"/>
        </w:numPr>
      </w:pPr>
      <w:r>
        <w:t xml:space="preserve">限流/熔断/重试策略、外部连接降级、文件白名单与解析隔离</w:t>
      </w:r>
    </w:p>
    <w:bookmarkEnd w:id="28"/>
    <w:bookmarkStart w:id="29" w:name="X18cb5ed3e6870fca48e659a42cb0c36d460ca0c"/>
    <w:p>
      <w:pPr>
        <w:pStyle w:val="Heading3"/>
      </w:pPr>
      <w:r>
        <w:t xml:space="preserve">6.3 兼容性测试</w:t>
      </w:r>
    </w:p>
    <w:p>
      <w:pPr>
        <w:numPr>
          <w:ilvl w:val="0"/>
          <w:numId w:val="1014"/>
        </w:numPr>
      </w:pPr>
      <w:r>
        <w:t xml:space="preserve">浏览器支持目标: Chrome/Firefox/Edge 最近2个主版本；分辨率自适应</w:t>
      </w:r>
    </w:p>
    <w:p>
      <w:pPr>
        <w:numPr>
          <w:ilvl w:val="0"/>
          <w:numId w:val="1014"/>
        </w:numPr>
      </w:pPr>
      <w:r>
        <w:t xml:space="preserve">结果小结: 暂无数据（未提供跨浏览器/分辨率矩阵与截图）</w:t>
      </w:r>
    </w:p>
    <w:bookmarkEnd w:id="29"/>
    <w:bookmarkEnd w:id="30"/>
    <w:bookmarkStart w:id="31" w:name="X868f4c2e28570105f4ec458eb131d6b060c2da2"/>
    <w:p>
      <w:pPr>
        <w:pStyle w:val="Heading2"/>
      </w:pPr>
      <w:r>
        <w:t xml:space="preserve">7. 风险与问题清单</w:t>
      </w:r>
    </w:p>
    <w:p>
      <w:pPr>
        <w:numPr>
          <w:ilvl w:val="0"/>
          <w:numId w:val="1015"/>
        </w:numPr>
      </w:pPr>
      <w:r>
        <w:t xml:space="preserve">已知风险（源自方案与设计）:</w:t>
      </w:r>
    </w:p>
    <w:p>
      <w:pPr>
        <w:numPr>
          <w:ilvl w:val="1"/>
          <w:numId w:val="1016"/>
        </w:numPr>
      </w:pPr>
      <w:r>
        <w:t xml:space="preserve">外部系统不稳定/配额导致联调失败/超时（建议沙箱与Mock、超时重试、降级）</w:t>
      </w:r>
    </w:p>
    <w:p>
      <w:pPr>
        <w:numPr>
          <w:ilvl w:val="1"/>
          <w:numId w:val="1016"/>
        </w:numPr>
      </w:pPr>
      <w:r>
        <w:t xml:space="preserve">模型/嵌入服务限流导致问答时延升高（建议预热与配额监控、缓存与本地化兜底）</w:t>
      </w:r>
    </w:p>
    <w:p>
      <w:pPr>
        <w:numPr>
          <w:ilvl w:val="1"/>
          <w:numId w:val="1016"/>
        </w:numPr>
      </w:pPr>
      <w:r>
        <w:t xml:space="preserve">大文件解析失败影响入库（建议白名单+重试+人工校验）</w:t>
      </w:r>
    </w:p>
    <w:p>
      <w:pPr>
        <w:numPr>
          <w:ilvl w:val="1"/>
          <w:numId w:val="1016"/>
        </w:numPr>
      </w:pPr>
      <w:r>
        <w:t xml:space="preserve">数据脱敏不足带来合规风险（建议严格脱敏与审计）</w:t>
      </w:r>
    </w:p>
    <w:p>
      <w:pPr>
        <w:numPr>
          <w:ilvl w:val="1"/>
          <w:numId w:val="1016"/>
        </w:numPr>
      </w:pPr>
      <w:r>
        <w:t xml:space="preserve">指标观测缺失导致定位困难（建议完善监控/Tracing）</w:t>
      </w:r>
    </w:p>
    <w:p>
      <w:pPr>
        <w:numPr>
          <w:ilvl w:val="0"/>
          <w:numId w:val="1015"/>
        </w:numPr>
      </w:pPr>
      <w:r>
        <w:t xml:space="preserve">依赖风险: 外部沙箱账号/配额、监控与日志平台接入、CI管线门禁规则缺失</w:t>
      </w:r>
    </w:p>
    <w:p>
      <w:pPr>
        <w:numPr>
          <w:ilvl w:val="0"/>
          <w:numId w:val="1015"/>
        </w:numPr>
      </w:pPr>
      <w:r>
        <w:t xml:space="preserve">规避与缓解: 按《系统测试方案》既定策略执行（Mock/沙箱/限流/熔断/降级/审计/告警）</w:t>
      </w:r>
    </w:p>
    <w:bookmarkEnd w:id="31"/>
    <w:bookmarkStart w:id="32" w:name="X8d3d8d48d323ce9cc598f21ba2f0a7930d7c423"/>
    <w:p>
      <w:pPr>
        <w:pStyle w:val="Heading2"/>
      </w:pPr>
      <w:r>
        <w:t xml:space="preserve">8. 发布门禁与结论</w:t>
      </w:r>
    </w:p>
    <w:p>
      <w:pPr>
        <w:numPr>
          <w:ilvl w:val="0"/>
          <w:numId w:val="1017"/>
        </w:numPr>
      </w:pPr>
      <w:r>
        <w:t xml:space="preserve">门禁标准（参考方案12.2）:</w:t>
      </w:r>
    </w:p>
    <w:p>
      <w:pPr>
        <w:numPr>
          <w:ilvl w:val="1"/>
          <w:numId w:val="1018"/>
        </w:numPr>
      </w:pPr>
      <w:r>
        <w:t xml:space="preserve">功能通过率≥&lt;pass_rate_threshold&gt;%（默认95%）、阻断/严重缺陷=0、主要缺陷关闭率≥&lt;defect_close_rate&gt;%（默认98%）</w:t>
      </w:r>
    </w:p>
    <w:p>
      <w:pPr>
        <w:numPr>
          <w:ilvl w:val="1"/>
          <w:numId w:val="1018"/>
        </w:numPr>
      </w:pPr>
      <w:r>
        <w:t xml:space="preserve">性能达标：P95/错误率/CPU/内存满足目标阈值</w:t>
      </w:r>
    </w:p>
    <w:p>
      <w:pPr>
        <w:numPr>
          <w:ilvl w:val="1"/>
          <w:numId w:val="1018"/>
        </w:numPr>
      </w:pPr>
      <w:r>
        <w:t xml:space="preserve">稳定性：24h运行无泄漏；关键作业可恢复</w:t>
      </w:r>
    </w:p>
    <w:p>
      <w:pPr>
        <w:numPr>
          <w:ilvl w:val="0"/>
          <w:numId w:val="1017"/>
        </w:numPr>
      </w:pPr>
      <w:r>
        <w:t xml:space="preserve">当前符合度: 未达成（数据缺失）</w:t>
      </w:r>
    </w:p>
    <w:p>
      <w:pPr>
        <w:numPr>
          <w:ilvl w:val="0"/>
          <w:numId w:val="1017"/>
        </w:numPr>
      </w:pPr>
      <w:r>
        <w:t xml:space="preserve">结论与建议: 建议延期；需先补齐测试执行记录、缺陷清单、性能/安全/兼容性证据后再评审发布</w:t>
      </w:r>
    </w:p>
    <w:bookmarkEnd w:id="32"/>
    <w:bookmarkStart w:id="33" w:name="Xee68276443e48b794b733ebd73df1c57ae95955"/>
    <w:p>
      <w:pPr>
        <w:pStyle w:val="Heading2"/>
      </w:pPr>
      <w:r>
        <w:t xml:space="preserve">9. 附录</w:t>
      </w:r>
    </w:p>
    <w:p>
      <w:pPr>
        <w:numPr>
          <w:ilvl w:val="0"/>
          <w:numId w:val="1019"/>
        </w:numPr>
      </w:pPr>
      <w:r>
        <w:t xml:space="preserve">证据与参考链接/路径:</w:t>
      </w:r>
    </w:p>
    <w:p>
      <w:pPr>
        <w:numPr>
          <w:ilvl w:val="1"/>
          <w:numId w:val="1020"/>
        </w:numPr>
      </w:pPr>
      <w:r>
        <w:t xml:space="preserve">用例执行记录: docs/测试用例/知识库管理_*.md（含 KB-META-001 实际“通过”记录）</w:t>
      </w:r>
    </w:p>
    <w:p>
      <w:pPr>
        <w:numPr>
          <w:ilvl w:val="1"/>
          <w:numId w:val="1020"/>
        </w:numPr>
      </w:pPr>
      <w:r>
        <w:t xml:space="preserve">测试方案: docs/系统测试方案/系统测试方案.md（范围/环境/门槛/样例）</w:t>
      </w:r>
    </w:p>
    <w:p>
      <w:pPr>
        <w:numPr>
          <w:ilvl w:val="1"/>
          <w:numId w:val="1020"/>
        </w:numPr>
      </w:pPr>
      <w:r>
        <w:t xml:space="preserve">需求规格: docs/需求规格说明书/需求规格说明书.md、功能结构.md</w:t>
      </w:r>
    </w:p>
    <w:p>
      <w:pPr>
        <w:numPr>
          <w:ilvl w:val="1"/>
          <w:numId w:val="1020"/>
        </w:numPr>
      </w:pPr>
      <w:r>
        <w:t xml:space="preserve">设计文档: docs/概要设计说明书/概要设计说明书.md、docs/详细设计说明书/详细设计说明书.md</w:t>
      </w:r>
    </w:p>
    <w:p>
      <w:pPr>
        <w:numPr>
          <w:ilvl w:val="1"/>
          <w:numId w:val="1020"/>
        </w:numPr>
      </w:pPr>
      <w:r>
        <w:t xml:space="preserve">部署建议: 《概要设计说明书》9.1 与 docs/私有化部署上线方案（目录存在，内容待补）</w:t>
      </w:r>
    </w:p>
    <w:p>
      <w:pPr>
        <w:numPr>
          <w:ilvl w:val="0"/>
          <w:numId w:val="1019"/>
        </w:numPr>
      </w:pPr>
      <w:r>
        <w:t xml:space="preserve">数据缺口待补清单:</w:t>
      </w:r>
    </w:p>
    <w:p>
      <w:pPr>
        <w:numPr>
          <w:ilvl w:val="1"/>
          <w:numId w:val="1021"/>
        </w:numPr>
      </w:pPr>
      <w:r>
        <w:t xml:space="preserve">测试周期（起止）、用例总数/执行数/通过数/阻塞数（导出台账）</w:t>
      </w:r>
    </w:p>
    <w:p>
      <w:pPr>
        <w:numPr>
          <w:ilvl w:val="1"/>
          <w:numId w:val="1021"/>
        </w:numPr>
      </w:pPr>
      <w:r>
        <w:t xml:space="preserve">缺陷列表（P0/P1/P2统计、修复/重开/平均修复时长）</w:t>
      </w:r>
    </w:p>
    <w:p>
      <w:pPr>
        <w:numPr>
          <w:ilvl w:val="1"/>
          <w:numId w:val="1021"/>
        </w:numPr>
      </w:pPr>
      <w:r>
        <w:t xml:space="preserve">性能与稳定性实测数据（原始指标/趋势图/制品链接）</w:t>
      </w:r>
    </w:p>
    <w:p>
      <w:pPr>
        <w:numPr>
          <w:ilvl w:val="1"/>
          <w:numId w:val="1021"/>
        </w:numPr>
      </w:pPr>
      <w:r>
        <w:t xml:space="preserve">安全测试证据（ZAP/VAPT/手工渗透清单）</w:t>
      </w:r>
    </w:p>
    <w:p>
      <w:pPr>
        <w:numPr>
          <w:ilvl w:val="1"/>
          <w:numId w:val="1021"/>
        </w:numPr>
      </w:pPr>
      <w:r>
        <w:t xml:space="preserve">兼容性矩阵（浏览器/分辨率）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"/>
    <w:bookmarkEnd w:id="34"/>
    <w:sectPr>
      <w:footnotePr>
        <w:numFmt w:val="decimal"/>
      </w:footnote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auto"/>
    <w:pitch w:val="default"/>
  </w:font>
  <w:font w:name="苹方-简">
    <w:charset w:val="01"/>
    <w:family w:val="auto"/>
    <w:pitch w:val="default"/>
  </w:font>
  <w:font w:name="Calibri">
    <w:charset w:val="01"/>
    <w:family w:val="auto"/>
    <w:pitch w:val="default"/>
  </w:font>
  <w:font w:name="Consolas">
    <w:charset w:val="01"/>
    <w:family w:val="auto"/>
    <w:pitch w:val="default"/>
  </w:font>
  <w:font w:name="苹方-简">
    <w:charset w:val="01"/>
    <w:family w:val="auto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9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宋体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苹方-简" w:cs="宋体" w:cstheme="minorBidi" w:eastAsia="苹方-简" w:hAnsi="苹方-简"/>
      <w:color w:val="auto"/>
      <w:kern w:val="0"/>
      <w:sz w:val="24"/>
      <w:szCs w:val="24"/>
      <w:lang w:bidi="ar-SA" w:eastAsia="zh-CN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苹方-简" w:cs="宋体" w:cstheme="majorBidi" w:eastAsia="苹方-简" w:hAnsi="苹方-简"/>
      <w:b/>
      <w:bCs/>
      <w:color w:val="000000"/>
      <w:sz w:val="32"/>
      <w:szCs w:val="32"/>
      <w:lang w:eastAsia="zh-CN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苹方-简" w:cs="宋体" w:cstheme="majorBidi" w:eastAsia="苹方-简" w:hAnsi="苹方-简"/>
      <w:b/>
      <w:bCs/>
      <w:color w:val="000000"/>
      <w:sz w:val="28"/>
      <w:szCs w:val="28"/>
      <w:lang w:eastAsia="zh-CN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苹方-简" w:cs="宋体" w:cstheme="majorBidi" w:eastAsia="苹方-简" w:hAnsi="苹方-简"/>
      <w:b/>
      <w:bCs/>
      <w:color w:val="000000"/>
      <w:sz w:val="24"/>
      <w:szCs w:val="24"/>
      <w:lang w:eastAsia="zh-CN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苹方-简" w:cs="宋体" w:cstheme="majorBidi" w:eastAsia="苹方-简" w:hAnsi="苹方-简"/>
      <w:bCs/>
      <w:i/>
      <w:color w:val="000000"/>
      <w:sz w:val="24"/>
      <w:szCs w:val="24"/>
      <w:lang w:eastAsia="zh-CN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苹方-简" w:cs="宋体" w:cstheme="majorBidi" w:eastAsia="苹方-简" w:hAnsi="苹方-简"/>
      <w:iCs/>
      <w:color w:val="000000"/>
      <w:sz w:val="24"/>
      <w:szCs w:val="24"/>
      <w:lang w:eastAsia="zh-CN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苹方-简" w:cs="宋体" w:cstheme="majorBidi" w:eastAsia="苹方-简" w:hAnsi="苹方-简"/>
      <w:color w:val="000000"/>
      <w:sz w:val="24"/>
      <w:szCs w:val="24"/>
      <w:lang w:eastAsia="zh-CN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宋体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宋体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宋体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qFormat/>
    <w:rPr>
      <w:vertAlign w:val="superscript"/>
    </w:rPr>
  </w:style>
  <w:style w:styleId="FootnoteAnchor" w:type="character">
    <w:name w:val="Footnote Reference"/>
    <w:rPr>
      <w:vertAlign w:val="superscript"/>
    </w:rPr>
  </w:style>
  <w:style w:styleId="InternetLink" w:type="character">
    <w:name w:val="Hyperlink"/>
    <w:basedOn w:val="BodyTextChar"/>
    <w:rPr>
      <w:color w:themeColor="accent1" w:val="4F81BD"/>
    </w:rPr>
  </w:style>
  <w:style w:styleId="EndnoteCharacters" w:type="character">
    <w:name w:val="Endnote Characters"/>
    <w:qFormat/>
    <w:rPr>
      <w:vertAlign w:val="superscript"/>
    </w:rPr>
  </w:style>
  <w:style w:styleId="EndnoteAnchor" w:type="character">
    <w:name w:val="Endnote Reference"/>
    <w:rPr>
      <w:vertAlign w:val="superscript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苹方-简" w:cs="Lucida Sans" w:eastAsia="苹方-简" w:hAnsi="苹方-简"/>
      <w:sz w:val="28"/>
      <w:szCs w:val="28"/>
    </w:rPr>
  </w:style>
  <w:style w:styleId="TextBody" w:type="paragraph">
    <w:name w:val="Body Text"/>
    <w:basedOn w:val="Normal"/>
    <w:link w:val="BodyTextChar"/>
    <w:qFormat/>
    <w:pPr>
      <w:spacing w:after="180" w:before="180"/>
    </w:pPr>
    <w:rPr>
      <w:rFonts w:ascii="苹方-简" w:eastAsia="苹方-简" w:hAnsi="苹方-简"/>
      <w:lang w:eastAsia="zh-CN"/>
    </w:rPr>
  </w:style>
  <w:style w:styleId="List" w:type="paragraph">
    <w:name w:val="List"/>
    <w:basedOn w:val="TextBody"/>
    <w:pPr/>
    <w:rPr>
      <w:rFonts w:ascii="苹方-简" w:cs="Lucida Sans" w:eastAsia="苹方-简" w:hAnsi="苹方-简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ascii="苹方-简" w:cs="Lucida Sans" w:eastAsia="苹方-简" w:hAnsi="苹方-简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widowControl w:val="false"/>
      <w:suppressAutoHyphens w:val="true"/>
      <w:spacing w:after="36" w:before="36"/>
      <w:jc w:val="left"/>
    </w:pPr>
    <w:rPr>
      <w:rFonts w:ascii="苹方-简" w:hAnsi="苹方-简"/>
      <w:b w:val="false"/>
      <w:bCs w:val="false"/>
      <w:i w:val="false"/>
      <w:iCs w:val="false"/>
      <w:strike w:val="false"/>
      <w:dstrike w:val="false"/>
      <w:outline w:val="false"/>
      <w:shadow w:val="false"/>
      <w:color w:val="000000"/>
      <w:sz w:val="24"/>
      <w:szCs w:val="24"/>
      <w:u w:val="none"/>
    </w:r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苹方-简" w:cs="宋体" w:cstheme="majorBidi" w:eastAsia="苹方-简" w:hAnsi="苹方-简"/>
      <w:b/>
      <w:bCs/>
      <w:color w:themeShade="b5" w:val="000000"/>
      <w:sz w:val="44"/>
      <w:szCs w:val="36"/>
      <w:lang w:eastAsia="zh-CN"/>
    </w:rPr>
  </w:style>
  <w:style w:styleId="Subtitle" w:type="paragraph">
    <w:name w:val="Subtitle"/>
    <w:basedOn w:val="Title"/>
    <w:next w:val="TextBody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宋体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宋体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Contents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宋体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ListContents" w:type="paragraph">
    <w:name w:val="List Contents"/>
    <w:basedOn w:val="Normal"/>
    <w:qFormat/>
    <w:pPr>
      <w:ind w:hanging="0" w:left="567"/>
    </w:pPr>
    <w:rPr>
      <w:rFonts w:ascii="苹方-简" w:eastAsia="苹方-简" w:hAnsi="苹方-简"/>
      <w:lang w:eastAsia="zh-CN"/>
    </w:rPr>
  </w:style>
  <w:style w:styleId="ListHeading" w:type="paragraph">
    <w:name w:val="List Heading"/>
    <w:basedOn w:val="Normal"/>
    <w:next w:val="ListContents"/>
    <w:qFormat/>
    <w:pPr>
      <w:ind w:hanging="0"/>
    </w:pPr>
    <w:rPr>
      <w:rFonts w:ascii="苹方-简" w:eastAsia="苹方-简" w:hAnsi="苹方-简"/>
      <w:lang w:eastAsia="zh-CN"/>
    </w:rPr>
  </w:style>
  <w:style w:styleId="TableContents" w:type="paragraph">
    <w:name w:val="Table Contents"/>
    <w:basedOn w:val="Normal"/>
    <w:qFormat/>
    <w:pPr>
      <w:widowControl w:val="false"/>
      <w:suppressLineNumbers/>
    </w:pPr>
    <w:rPr>
      <w:rFonts w:ascii="苹方-简" w:eastAsia="苹方-简" w:hAnsi="苹方-简"/>
      <w:lang w:eastAsia="zh-CN"/>
    </w:r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app.anyremote.cn:8183/data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app.anyremote.cn:8183/data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LibreOffice/7.4.5.1$MacOSX_X86_64 LibreOffice_project/9c0871452b3918c1019dde9bfac75448afc4b57f</Application>
  <AppVersion>15.0000</AppVersion>
  <Pages>2</Pages>
  <Words>53</Words>
  <Characters>281</Characters>
  <CharactersWithSpaces>369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2025-09-08T03:36:18Z</dcterms:created>
  <dcterms:modified xsi:type="dcterms:W3CDTF">2025-09-08T03:36:18Z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