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aps/>
          <w:color w:val="888888"/>
          <w:sz w:val="18"/>
          <w:szCs w:val="18"/>
        </w:rPr>
        <w:t xml:space="preserve">WORKING PAPER — PLAIN LANGUAGE SUMMARY</w:t>
      </w:r>
    </w:p>
    <w:p>
      <w:pPr>
        <w:spacing w:after="60"/>
      </w:pPr>
      <w:r>
        <w:rPr>
          <w:rFonts w:ascii="Arial" w:cs="Arial" w:eastAsia="Arial" w:hAnsi="Arial"/>
          <w:b/>
          <w:bCs/>
          <w:color w:val="1B3A6B"/>
          <w:sz w:val="40"/>
          <w:szCs w:val="40"/>
        </w:rPr>
        <w:t xml:space="preserve">Enforcing Kantian Equilibria:</w:t>
      </w:r>
    </w:p>
    <w:p>
      <w:pPr>
        <w:spacing w:after="280"/>
      </w:pPr>
      <w:r>
        <w:rPr>
          <w:rFonts w:ascii="Arial" w:cs="Arial" w:eastAsia="Arial" w:hAnsi="Arial"/>
          <w:b/>
          <w:bCs/>
          <w:color w:val="C9973A"/>
          <w:sz w:val="32"/>
          <w:szCs w:val="32"/>
        </w:rPr>
        <w:t xml:space="preserve">From Nash's Prisoner's Dilemma to Learning Cooperation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1B3A6B" w:sz="1"/>
              <w:left w:val="single" w:color="1B3A6B" w:sz="1"/>
              <w:bottom w:val="single" w:color="1B3A6B" w:sz="1"/>
              <w:right w:val="single" w:color="1B3A6B" w:sz="1"/>
            </w:tcBorders>
            <w:shd w:fill="EEF2F8" w:val="clear"/>
            <w:tcMar>
              <w:top w:type="dxa" w:w="160"/>
              <w:left w:type="dxa" w:w="200"/>
              <w:bottom w:type="dxa" w:w="160"/>
              <w:right w:type="dxa" w:w="200"/>
            </w:tcMar>
          </w:tcPr>
          <w:p>
            <w:pPr>
              <w:spacing w:after="60"/>
            </w:pPr>
            <w:r>
              <w:rPr>
                <w:rFonts w:ascii="Arial" w:cs="Arial" w:eastAsia="Arial" w:hAnsi="Arial"/>
                <w:b/>
                <w:bCs/>
                <w:color w:val="1B3A6B"/>
                <w:sz w:val="20"/>
                <w:szCs w:val="20"/>
              </w:rPr>
              <w:t xml:space="preserve">Authors</w:t>
            </w:r>
          </w:p>
          <w:p>
            <w:pPr>
              <w:spacing w:after="40"/>
            </w:pPr>
            <w:r>
              <w:rPr>
                <w:rFonts w:ascii="Arial" w:cs="Arial" w:eastAsia="Arial" w:hAnsi="Arial"/>
                <w:b/>
                <w:bCs/>
                <w:sz w:val="22"/>
                <w:szCs w:val="22"/>
              </w:rPr>
              <w:t xml:space="preserve">Miguel Rocha de Sousa</w:t>
            </w:r>
          </w:p>
          <w:p>
            <w:pPr>
              <w:spacing w:after="100"/>
            </w:pPr>
            <w:r>
              <w:rPr>
                <w:rFonts w:ascii="Arial" w:cs="Arial" w:eastAsia="Arial" w:hAnsi="Arial"/>
                <w:color w:val="555555"/>
                <w:sz w:val="20"/>
                <w:szCs w:val="20"/>
              </w:rPr>
              <w:t xml:space="preserve">mrsousa@uevora.pt</w:t>
            </w:r>
          </w:p>
          <w:p>
            <w:pPr>
              <w:spacing w:after="40"/>
            </w:pPr>
            <w:r>
              <w:rPr>
                <w:rFonts w:ascii="Arial" w:cs="Arial" w:eastAsia="Arial" w:hAnsi="Arial"/>
                <w:b/>
                <w:bCs/>
                <w:sz w:val="22"/>
                <w:szCs w:val="22"/>
              </w:rPr>
              <w:t xml:space="preserve">António Caleiro</w:t>
            </w:r>
          </w:p>
          <w:p>
            <w:r>
              <w:rPr>
                <w:rFonts w:ascii="Arial" w:cs="Arial" w:eastAsia="Arial" w:hAnsi="Arial"/>
                <w:color w:val="555555"/>
                <w:sz w:val="20"/>
                <w:szCs w:val="20"/>
              </w:rPr>
              <w:t xml:space="preserve">caleiro@uevora.pt</w:t>
            </w:r>
          </w:p>
        </w:tc>
        <w:tc>
          <w:tcPr>
            <w:tcW w:type="dxa" w:w="4500"/>
            <w:tcBorders>
              <w:top w:val="single" w:color="C9973A" w:sz="1"/>
              <w:left w:val="single" w:color="C9973A" w:sz="1"/>
              <w:bottom w:val="single" w:color="C9973A" w:sz="1"/>
              <w:right w:val="single" w:color="C9973A" w:sz="1"/>
            </w:tcBorders>
            <w:shd w:fill="FFFBF0" w:val="clear"/>
            <w:tcMar>
              <w:top w:type="dxa" w:w="160"/>
              <w:left w:type="dxa" w:w="200"/>
              <w:bottom w:type="dxa" w:w="160"/>
              <w:right w:type="dxa" w:w="200"/>
            </w:tcMar>
          </w:tcPr>
          <w:p>
            <w:pPr>
              <w:spacing w:after="60"/>
            </w:pPr>
            <w:r>
              <w:rPr>
                <w:rFonts w:ascii="Arial" w:cs="Arial" w:eastAsia="Arial" w:hAnsi="Arial"/>
                <w:b/>
                <w:bCs/>
                <w:color w:val="1B3A6B"/>
                <w:sz w:val="20"/>
                <w:szCs w:val="20"/>
              </w:rPr>
              <w:t xml:space="preserve">Institution</w:t>
            </w:r>
          </w:p>
          <w:p>
            <w:pPr>
              <w:spacing w:after="40"/>
            </w:pPr>
            <w:r>
              <w:rPr>
                <w:rFonts w:ascii="Arial" w:cs="Arial" w:eastAsia="Arial" w:hAnsi="Arial"/>
                <w:b/>
                <w:bCs/>
                <w:sz w:val="22"/>
                <w:szCs w:val="22"/>
              </w:rPr>
              <w:t xml:space="preserve">Universidade de Évora</w:t>
            </w:r>
          </w:p>
          <w:p>
            <w:pPr>
              <w:spacing w:after="40"/>
            </w:pPr>
            <w:r>
              <w:rPr>
                <w:rFonts w:ascii="Arial" w:cs="Arial" w:eastAsia="Arial" w:hAnsi="Arial"/>
                <w:sz w:val="20"/>
                <w:szCs w:val="20"/>
              </w:rPr>
              <w:t xml:space="preserve">Departamento de Economia</w:t>
            </w:r>
          </w:p>
          <w:p>
            <w:pPr>
              <w:spacing w:after="40"/>
            </w:pPr>
            <w:r>
              <w:rPr>
                <w:rFonts w:ascii="Arial" w:cs="Arial" w:eastAsia="Arial" w:hAnsi="Arial"/>
                <w:sz w:val="20"/>
                <w:szCs w:val="20"/>
              </w:rPr>
              <w:t xml:space="preserve">CEFAGE-UE &amp; VALORIZA</w:t>
            </w:r>
          </w:p>
          <w:p>
            <w:r>
              <w:rPr>
                <w:rFonts w:ascii="Arial" w:cs="Arial" w:eastAsia="Arial" w:hAnsi="Arial"/>
                <w:b/>
                <w:bCs/>
                <w:color w:val="C9973A"/>
                <w:sz w:val="20"/>
                <w:szCs w:val="20"/>
              </w:rPr>
              <w:t xml:space="preserve">Working Paper | May 2026</w:t>
            </w:r>
          </w:p>
        </w:tc>
      </w:tr>
    </w:tbl>
    <w:p>
      <w:pPr>
        <w:spacing w:after="120"/>
      </w:pPr>
      <w:r>
        <w:rPr>
          <w:rFonts w:ascii="Arial" w:cs="Arial" w:eastAsia="Arial" w:hAnsi="Arial"/>
        </w:rPr>
        <w:t xml:space="preserve"/>
      </w:r>
    </w:p>
    <w:p>
      <w:pPr>
        <w:spacing w:after="12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B3A6B" w:sz="1"/>
              <w:left w:val="single" w:color="1B3A6B" w:sz="1"/>
              <w:bottom w:val="single" w:color="1B3A6B" w:sz="1"/>
              <w:right w:val="single" w:color="1B3A6B" w:sz="1"/>
            </w:tcBorders>
            <w:shd w:fill="E8F0FB" w:val="clear"/>
            <w:tcMar>
              <w:top w:type="dxa" w:w="160"/>
              <w:left w:type="dxa" w:w="200"/>
              <w:bottom w:type="dxa" w:w="160"/>
              <w:right w:type="dxa" w:w="200"/>
            </w:tcMar>
          </w:tcPr>
          <w:p>
            <w:pPr>
              <w:spacing w:after="80"/>
            </w:pPr>
            <w:r>
              <w:rPr>
                <w:rFonts w:ascii="Arial" w:cs="Arial" w:eastAsia="Arial" w:hAnsi="Arial"/>
                <w:b/>
                <w:bCs/>
                <w:color w:val="1B3A6B"/>
                <w:sz w:val="22"/>
                <w:szCs w:val="22"/>
              </w:rPr>
              <w:t xml:space="preserve">🔑 The Core Idea — in plain language</w:t>
            </w:r>
          </w:p>
          <w:p>
            <w:pPr>
              <w:jc w:val="both"/>
            </w:pPr>
            <w:r>
              <w:rPr>
                <w:rFonts w:ascii="Arial" w:cs="Arial" w:eastAsia="Arial" w:hAnsi="Arial"/>
                <w:sz w:val="21"/>
                <w:szCs w:val="21"/>
              </w:rPr>
              <w:t xml:space="preserve">When people act purely in their own interest, they often end up worse off than if they had worked together. This paper asks: can we design a simple rule — a multiplier and a penalty — that makes self-interested people voluntarily cooperate? We prove the answer is yes, and we show how cooperation can be learned over time and applied to global challenges like climate change and UN Security Council voting.</w:t>
            </w:r>
          </w:p>
        </w:tc>
      </w:tr>
    </w:tbl>
    <w:p>
      <w:pPr>
        <w:spacing w:after="120"/>
      </w:pPr>
      <w:r>
        <w:rPr>
          <w:rFonts w:ascii="Arial" w:cs="Arial" w:eastAsia="Arial" w:hAnsi="Arial"/>
        </w:rPr>
        <w:t xml:space="preserve"/>
      </w:r>
    </w:p>
    <w:p>
      <w:pPr>
        <w:spacing w:after="120"/>
      </w:pPr>
      <w:r>
        <w:rPr>
          <w:rFonts w:ascii="Arial" w:cs="Arial" w:eastAsia="Arial" w:hAnsi="Arial"/>
        </w:rPr>
        <w:t xml:space="preserve"/>
      </w:r>
    </w:p>
    <w:p>
      <w:pPr>
        <w:pStyle w:val="Heading1"/>
        <w:spacing w:after="180" w:before="360"/>
      </w:pPr>
      <w:r>
        <w:rPr>
          <w:rFonts w:ascii="Arial" w:cs="Arial" w:eastAsia="Arial" w:hAnsi="Arial"/>
          <w:b/>
          <w:bCs/>
          <w:color w:val="1B3A6B"/>
          <w:sz w:val="28"/>
          <w:szCs w:val="28"/>
        </w:rPr>
        <w:t xml:space="preserve">1  The Problem: Why Do People Not Cooperate?</w:t>
      </w:r>
    </w:p>
    <w:p>
      <w:pPr>
        <w:spacing w:after="180"/>
        <w:jc w:val="both"/>
      </w:pPr>
      <w:r>
        <w:rPr>
          <w:rFonts w:ascii="Arial" w:cs="Arial" w:eastAsia="Arial" w:hAnsi="Arial"/>
          <w:sz w:val="22"/>
          <w:szCs w:val="22"/>
        </w:rPr>
        <w:t xml:space="preserve">Imagine two countries negotiating climate commitments. If each country only thinks about itself, it will try to "free ride" — let the other country make expensive cuts while it benefits from the cleaner atmosphere at no cost. The tragic result: both countries defect, total emissions barely fall, and everyone loses. This is the famous Prisoner's Dilemma.</w:t>
      </w:r>
    </w:p>
    <w:p>
      <w:pPr>
        <w:spacing w:after="180"/>
        <w:jc w:val="both"/>
      </w:pPr>
      <w:r>
        <w:rPr>
          <w:rFonts w:ascii="Arial" w:cs="Arial" w:eastAsia="Arial" w:hAnsi="Arial"/>
          <w:sz w:val="22"/>
          <w:szCs w:val="22"/>
        </w:rPr>
        <w:t xml:space="preserve">John Nash, whose story was told in the film A Beautiful Mind, proved that when every player acts selfishly — ignoring how their choices affect others — the outcome is a Nash Equilibrium. Unfortunately, the Nash Equilibrium in a Prisoner's Dilemma is mutual defection: a result that is bad for everyone, yet no single player wants to deviate because doing so would only hurt themselves.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B3A6B" w:sz="1"/>
              <w:left w:val="single" w:color="1B3A6B" w:sz="1"/>
              <w:bottom w:val="single" w:color="1B3A6B" w:sz="1"/>
              <w:right w:val="single" w:color="1B3A6B" w:sz="1"/>
            </w:tcBorders>
            <w:shd w:fill="EEF2F8" w:val="clear"/>
            <w:tcMar>
              <w:top w:type="dxa" w:w="160"/>
              <w:left w:type="dxa" w:w="200"/>
              <w:bottom w:type="dxa" w:w="160"/>
              <w:right w:type="dxa" w:w="200"/>
            </w:tcMar>
          </w:tcPr>
          <w:p>
            <w:pPr>
              <w:spacing w:after="80"/>
            </w:pPr>
            <w:r>
              <w:rPr>
                <w:rFonts w:ascii="Arial" w:cs="Arial" w:eastAsia="Arial" w:hAnsi="Arial"/>
                <w:b/>
                <w:bCs/>
                <w:color w:val="1B3A6B"/>
                <w:sz w:val="22"/>
                <w:szCs w:val="22"/>
              </w:rPr>
              <w:t xml:space="preserve">📌 The Prisoner's Dilemma at a Glance</w:t>
            </w:r>
          </w:p>
          <w:p>
            <w:pPr>
              <w:jc w:val="both"/>
            </w:pPr>
            <w:r>
              <w:rPr>
                <w:rFonts w:ascii="Arial" w:cs="Arial" w:eastAsia="Arial" w:hAnsi="Arial"/>
                <w:sz w:val="21"/>
                <w:szCs w:val="21"/>
              </w:rPr>
              <w:t xml:space="preserve">Two players each choose: Cooperate (C) or Defect (D).
• If both cooperate: each gets a reward R.
• If one defects while the other cooperates: the defector gets T (temptation), the cooperator gets S (sucker).
• If both defect: each gets P (punishment).
Because T &gt; R &gt; P &gt; S, defecting always looks attractive — but mutual defection (P, P) is worse than mutual cooperation (R, R).</w:t>
            </w:r>
          </w:p>
        </w:tc>
      </w:tr>
    </w:tbl>
    <w:p>
      <w:pPr>
        <w:spacing w:after="120"/>
      </w:pPr>
      <w:r>
        <w:rPr>
          <w:rFonts w:ascii="Arial" w:cs="Arial" w:eastAsia="Arial" w:hAnsi="Arial"/>
        </w:rPr>
        <w:t xml:space="preserve"/>
      </w:r>
    </w:p>
    <w:p>
      <w:pPr>
        <w:spacing w:after="180"/>
        <w:jc w:val="both"/>
      </w:pPr>
      <w:r>
        <w:rPr>
          <w:rFonts w:ascii="Arial" w:cs="Arial" w:eastAsia="Arial" w:hAnsi="Arial"/>
          <w:sz w:val="22"/>
          <w:szCs w:val="22"/>
        </w:rPr>
        <w:t xml:space="preserve">In continuous settings (where effort is a number, not just cooperate/defect), the Nash outcome features socially deficient effort. Each player invests less than is socially optimal, because they cannot capture the benefit their effort gives to others. The coordination shortfall — the gap between Nash and optimal effort — is the central quantity this paper aims to close.</w:t>
      </w:r>
    </w:p>
    <w:p>
      <w:pPr>
        <w:pStyle w:val="Heading2"/>
        <w:spacing w:after="120" w:before="240"/>
      </w:pPr>
      <w:r>
        <w:rPr>
          <w:rFonts w:ascii="Arial" w:cs="Arial" w:eastAsia="Arial" w:hAnsi="Arial"/>
          <w:b/>
          <w:bCs/>
          <w:color w:val="1B3A6B"/>
          <w:sz w:val="24"/>
          <w:szCs w:val="24"/>
        </w:rPr>
        <w:t xml:space="preserve">1.2  The Kantian Solution</w:t>
      </w:r>
    </w:p>
    <w:p>
      <w:pPr>
        <w:spacing w:after="180"/>
        <w:jc w:val="both"/>
      </w:pPr>
      <w:r>
        <w:rPr>
          <w:rFonts w:ascii="Arial" w:cs="Arial" w:eastAsia="Arial" w:hAnsi="Arial"/>
          <w:sz w:val="22"/>
          <w:szCs w:val="22"/>
        </w:rPr>
        <w:t xml:space="preserve">The philosopher Immanuel Kant proposed a moral rule: "Act only according to that maxim which you can at the same time will to become a universal law." Translated into game theory by economist John Roemer, the Kantian Equilibrium asks each player a different question from Nash's.</w:t>
      </w:r>
    </w:p>
    <w:p>
      <w:pPr>
        <w:spacing w:after="180"/>
        <w:jc w:val="both"/>
      </w:pPr>
      <w:r>
        <w:rPr>
          <w:rFonts w:ascii="Arial" w:cs="Arial" w:eastAsia="Arial" w:hAnsi="Arial"/>
          <w:sz w:val="22"/>
          <w:szCs w:val="22"/>
        </w:rPr>
        <w:t xml:space="preserve">Instead of "What is my best response, taking others' actions as fixed?", the Kantian player asks: "If everyone scaled their effort by the same factor λ simultaneously, would I want to choose λ ≠ 1?" At a Kantian Equilibrium, no player wants to propose any such proportional deviation.</w:t>
      </w:r>
    </w:p>
    <w:p>
      <w:pPr>
        <w:spacing w:after="180"/>
        <w:jc w:val="both"/>
      </w:pPr>
      <w:r>
        <w:rPr>
          <w:rFonts w:ascii="Arial" w:cs="Arial" w:eastAsia="Arial" w:hAnsi="Arial"/>
          <w:sz w:val="22"/>
          <w:szCs w:val="22"/>
        </w:rPr>
        <w:t xml:space="preserve">This change in perspective is powerful. Because each player imagines everyone moving together, they automatically internalise the externalities — the benefits their effort brings to others. The Kantian Equilibrium therefore sits on the Pareto frontier: it is impossible to make anyone better off without making someone worse off.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B3A6B" w:sz="1"/>
              <w:left w:val="single" w:color="1B3A6B" w:sz="1"/>
              <w:bottom w:val="single" w:color="1B3A6B" w:sz="1"/>
              <w:right w:val="single" w:color="1B3A6B" w:sz="1"/>
            </w:tcBorders>
            <w:shd w:fill="EEF2F8" w:val="clear"/>
            <w:tcMar>
              <w:top w:type="dxa" w:w="160"/>
              <w:left w:type="dxa" w:w="200"/>
              <w:bottom w:type="dxa" w:w="160"/>
              <w:right w:type="dxa" w:w="200"/>
            </w:tcMar>
          </w:tcPr>
          <w:p>
            <w:pPr>
              <w:spacing w:after="80"/>
            </w:pPr>
            <w:r>
              <w:rPr>
                <w:rFonts w:ascii="Arial" w:cs="Arial" w:eastAsia="Arial" w:hAnsi="Arial"/>
                <w:b/>
                <w:bCs/>
                <w:color w:val="1B3A6B"/>
                <w:sz w:val="22"/>
                <w:szCs w:val="22"/>
              </w:rPr>
              <w:t xml:space="preserve">💡 Key Insight</w:t>
            </w:r>
          </w:p>
          <w:p>
            <w:pPr>
              <w:jc w:val="both"/>
            </w:pPr>
            <w:r>
              <w:rPr>
                <w:rFonts w:ascii="Arial" w:cs="Arial" w:eastAsia="Arial" w:hAnsi="Arial"/>
                <w:sz w:val="21"/>
                <w:szCs w:val="21"/>
              </w:rPr>
              <w:t xml:space="preserve">Nash asks: "What should I do, taking others as given?" — leading to free-riding.
Kant asks: "What should everyone do together?" — leading to cooperation.
The Kantian Equilibrium Pareto-dominates the Nash Equilibrium: everyone is better off.</w:t>
            </w:r>
          </w:p>
        </w:tc>
      </w:tr>
    </w:tbl>
    <w:p>
      <w:pPr>
        <w:spacing w:after="120"/>
      </w:pPr>
      <w:r>
        <w:rPr>
          <w:rFonts w:ascii="Arial" w:cs="Arial" w:eastAsia="Arial" w:hAnsi="Arial"/>
        </w:rPr>
        <w:t xml:space="preserve"/>
      </w:r>
    </w:p>
    <w:p>
      <w:pPr>
        <w:spacing w:after="120"/>
      </w:pPr>
      <w:r>
        <w:rPr>
          <w:rFonts w:ascii="Arial" w:cs="Arial" w:eastAsia="Arial" w:hAnsi="Arial"/>
        </w:rPr>
        <w:t xml:space="preserve"/>
      </w:r>
    </w:p>
    <w:p>
      <w:pPr>
        <w:pStyle w:val="Heading1"/>
        <w:spacing w:after="180" w:before="360"/>
      </w:pPr>
      <w:r>
        <w:rPr>
          <w:rFonts w:ascii="Arial" w:cs="Arial" w:eastAsia="Arial" w:hAnsi="Arial"/>
          <w:b/>
          <w:bCs/>
          <w:color w:val="1B3A6B"/>
          <w:sz w:val="28"/>
          <w:szCs w:val="28"/>
        </w:rPr>
        <w:t xml:space="preserve">2  What Does the Literature Say?</w:t>
      </w:r>
    </w:p>
    <w:p>
      <w:pPr>
        <w:spacing w:after="180"/>
        <w:jc w:val="both"/>
      </w:pPr>
      <w:r>
        <w:rPr>
          <w:rFonts w:ascii="Arial" w:cs="Arial" w:eastAsia="Arial" w:hAnsi="Arial"/>
          <w:sz w:val="22"/>
          <w:szCs w:val="22"/>
        </w:rPr>
        <w:t xml:space="preserve">This paper builds on several streams of research:</w:t>
      </w:r>
    </w:p>
    <w:p>
      <w:pPr>
        <w:pStyle w:val="ListParagraph"/>
        <w:numPr>
          <w:ilvl w:val="0"/>
          <w:numId w:val="2"/>
        </w:numPr>
        <w:spacing w:after="120"/>
      </w:pPr>
      <w:r>
        <w:rPr>
          <w:rFonts w:ascii="Arial" w:cs="Arial" w:eastAsia="Arial" w:hAnsi="Arial"/>
          <w:sz w:val="22"/>
          <w:szCs w:val="22"/>
        </w:rPr>
        <w:t xml:space="preserve">Game Theory: Nash (1950, 1951) established non-cooperative equilibrium; Axelrod (1984) showed in computer tournaments that cooperative strategies like Tit-for-Tat can thrive in repeated games.</w:t>
      </w:r>
    </w:p>
    <w:p>
      <w:pPr>
        <w:pStyle w:val="ListParagraph"/>
        <w:numPr>
          <w:ilvl w:val="0"/>
          <w:numId w:val="2"/>
        </w:numPr>
        <w:spacing w:after="120"/>
      </w:pPr>
      <w:r>
        <w:rPr>
          <w:rFonts w:ascii="Arial" w:cs="Arial" w:eastAsia="Arial" w:hAnsi="Arial"/>
          <w:sz w:val="22"/>
          <w:szCs w:val="22"/>
        </w:rPr>
        <w:t xml:space="preserve">Kantian Equilibrium: Roemer (2010, 2019) formalised the Kantian equilibrium concept and showed it achieves socially efficient outcomes in public-good settings.</w:t>
      </w:r>
    </w:p>
    <w:p>
      <w:pPr>
        <w:pStyle w:val="ListParagraph"/>
        <w:numPr>
          <w:ilvl w:val="0"/>
          <w:numId w:val="2"/>
        </w:numPr>
        <w:spacing w:after="120"/>
      </w:pPr>
      <w:r>
        <w:rPr>
          <w:rFonts w:ascii="Arial" w:cs="Arial" w:eastAsia="Arial" w:hAnsi="Arial"/>
          <w:sz w:val="22"/>
          <w:szCs w:val="22"/>
        </w:rPr>
        <w:t xml:space="preserve">Mechanism Design: Fehr &amp; Gächter (2000) demonstrated experimentally that punishment mechanisms substantially expand cooperation, supporting the theoretical penalty parameter δ.</w:t>
      </w:r>
    </w:p>
    <w:p>
      <w:pPr>
        <w:pStyle w:val="ListParagraph"/>
        <w:numPr>
          <w:ilvl w:val="0"/>
          <w:numId w:val="2"/>
        </w:numPr>
        <w:spacing w:after="120"/>
      </w:pPr>
      <w:r>
        <w:rPr>
          <w:rFonts w:ascii="Arial" w:cs="Arial" w:eastAsia="Arial" w:hAnsi="Arial"/>
          <w:sz w:val="22"/>
          <w:szCs w:val="22"/>
        </w:rPr>
        <w:t xml:space="preserve">Learning in Games: Fudenberg &amp; Levine (1998) on fictitious play; Kalai &amp; Lehrer (1993) proved Bayesian learners converge to Nash equilibria; Honkapohja applied Bayesian updating to macroeconomic dynamics.</w:t>
      </w:r>
    </w:p>
    <w:p>
      <w:pPr>
        <w:pStyle w:val="ListParagraph"/>
        <w:numPr>
          <w:ilvl w:val="0"/>
          <w:numId w:val="2"/>
        </w:numPr>
        <w:spacing w:after="120"/>
      </w:pPr>
      <w:r>
        <w:rPr>
          <w:rFonts w:ascii="Arial" w:cs="Arial" w:eastAsia="Arial" w:hAnsi="Arial"/>
          <w:sz w:val="22"/>
          <w:szCs w:val="22"/>
        </w:rPr>
        <w:t xml:space="preserve">Evolutionary Dynamics: Weibull (1995) provides the canonical treatment of the replicator dynamic; Maynard Smith &amp; Price (1973) introduced the evolutionarily stable strategy concept.</w:t>
      </w:r>
    </w:p>
    <w:p>
      <w:pPr>
        <w:pStyle w:val="ListParagraph"/>
        <w:numPr>
          <w:ilvl w:val="0"/>
          <w:numId w:val="2"/>
        </w:numPr>
        <w:spacing w:after="120"/>
      </w:pPr>
      <w:r>
        <w:rPr>
          <w:rFonts w:ascii="Arial" w:cs="Arial" w:eastAsia="Arial" w:hAnsi="Arial"/>
          <w:sz w:val="22"/>
          <w:szCs w:val="22"/>
        </w:rPr>
        <w:t xml:space="preserve">International Cooperation: Barrett (2003) on self-enforcing environmental agreements; Nordhaus (2015) on climate clubs; Voeten (2005) on the UN Security Council.</w:t>
      </w:r>
    </w:p>
    <w:p>
      <w:pPr>
        <w:spacing w:after="120"/>
      </w:pPr>
      <w:r>
        <w:rPr>
          <w:rFonts w:ascii="Arial" w:cs="Arial" w:eastAsia="Arial" w:hAnsi="Arial"/>
        </w:rPr>
        <w:t xml:space="preserve"/>
      </w:r>
    </w:p>
    <w:p>
      <w:pPr>
        <w:spacing w:after="120"/>
      </w:pPr>
      <w:r>
        <w:rPr>
          <w:rFonts w:ascii="Arial" w:cs="Arial" w:eastAsia="Arial" w:hAnsi="Arial"/>
        </w:rPr>
        <w:t xml:space="preserve"/>
      </w:r>
    </w:p>
    <w:p>
      <w:pPr>
        <w:pStyle w:val="Heading1"/>
        <w:spacing w:after="180" w:before="360"/>
      </w:pPr>
      <w:r>
        <w:rPr>
          <w:rFonts w:ascii="Arial" w:cs="Arial" w:eastAsia="Arial" w:hAnsi="Arial"/>
          <w:b/>
          <w:bCs/>
          <w:color w:val="1B3A6B"/>
          <w:sz w:val="28"/>
          <w:szCs w:val="28"/>
        </w:rPr>
        <w:t xml:space="preserve">3  How to Enforce Kantian Equilibria: The λ–δ Mechanism</w:t>
      </w:r>
    </w:p>
    <w:p>
      <w:pPr>
        <w:spacing w:after="180"/>
        <w:jc w:val="both"/>
      </w:pPr>
      <w:r>
        <w:rPr>
          <w:rFonts w:ascii="Arial" w:cs="Arial" w:eastAsia="Arial" w:hAnsi="Arial"/>
          <w:sz w:val="22"/>
          <w:szCs w:val="22"/>
        </w:rPr>
        <w:t xml:space="preserve">Our core contribution is a two-parameter enforcement mechanism that moves players from the Nash non-cooperative outcome to a Kantian cooperative outcome. It consists of:</w:t>
      </w:r>
    </w:p>
    <w:p>
      <w:pPr>
        <w:pStyle w:val="Heading3"/>
        <w:spacing w:after="90" w:before="180"/>
      </w:pPr>
      <w:r>
        <w:rPr>
          <w:rFonts w:ascii="Arial" w:cs="Arial" w:eastAsia="Arial" w:hAnsi="Arial"/>
          <w:b/>
          <w:bCs/>
          <w:color w:val="C9973A"/>
          <w:sz w:val="22"/>
          <w:szCs w:val="22"/>
        </w:rPr>
        <w:t xml:space="preserve">3a  The Scaling Factor λ &gt; 1</w:t>
      </w:r>
    </w:p>
    <w:p>
      <w:pPr>
        <w:spacing w:after="180"/>
        <w:jc w:val="both"/>
      </w:pPr>
      <w:r>
        <w:rPr>
          <w:rFonts w:ascii="Arial" w:cs="Arial" w:eastAsia="Arial" w:hAnsi="Arial"/>
          <w:sz w:val="22"/>
          <w:szCs w:val="22"/>
        </w:rPr>
        <w:t xml:space="preserve">An institution (a treaty, a regulator, an international body) applies a multiplier λ &gt; 1 to all players' submitted efforts. If you pledge an effort of e, the institution records λ·e as your effective contribution. Because λ &gt; 1, the total effective production is higher, and the benefits of cooperation are amplified. Players are incentivised to raise their effort toward the Kantian level.</w:t>
      </w:r>
    </w:p>
    <w:p>
      <w:pPr>
        <w:pStyle w:val="Heading3"/>
        <w:spacing w:after="90" w:before="180"/>
      </w:pPr>
      <w:r>
        <w:rPr>
          <w:rFonts w:ascii="Arial" w:cs="Arial" w:eastAsia="Arial" w:hAnsi="Arial"/>
          <w:b/>
          <w:bCs/>
          <w:color w:val="C9973A"/>
          <w:sz w:val="22"/>
          <w:szCs w:val="22"/>
        </w:rPr>
        <w:t xml:space="preserve">3b  The Equiproportionality Penalty δ &gt; 0</w:t>
      </w:r>
    </w:p>
    <w:p>
      <w:pPr>
        <w:spacing w:after="180"/>
        <w:jc w:val="both"/>
      </w:pPr>
      <w:r>
        <w:rPr>
          <w:rFonts w:ascii="Arial" w:cs="Arial" w:eastAsia="Arial" w:hAnsi="Arial"/>
          <w:sz w:val="22"/>
          <w:szCs w:val="22"/>
        </w:rPr>
        <w:t xml:space="preserve">If two players exert different efforts — if you work harder than your partner or vice versa — both bear a penalty proportional to the difference: δ × |eᵢ − eⱼ|. This enforces symmetric, fair sharing of the cooperative burden. Any player who tries to free-ride by contributing less than their partner faces an immediate financial or reputational cost.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B3A6B" w:sz="1"/>
              <w:left w:val="single" w:color="1B3A6B" w:sz="1"/>
              <w:bottom w:val="single" w:color="1B3A6B" w:sz="1"/>
              <w:right w:val="single" w:color="1B3A6B" w:sz="1"/>
            </w:tcBorders>
            <w:shd w:fill="F0FFF4" w:val="clear"/>
            <w:tcMar>
              <w:top w:type="dxa" w:w="160"/>
              <w:left w:type="dxa" w:w="200"/>
              <w:bottom w:type="dxa" w:w="160"/>
              <w:right w:type="dxa" w:w="200"/>
            </w:tcMar>
          </w:tcPr>
          <w:p>
            <w:pPr>
              <w:spacing w:after="80"/>
            </w:pPr>
            <w:r>
              <w:rPr>
                <w:rFonts w:ascii="Arial" w:cs="Arial" w:eastAsia="Arial" w:hAnsi="Arial"/>
                <w:b/>
                <w:bCs/>
                <w:color w:val="1B3A6B"/>
                <w:sz w:val="22"/>
                <w:szCs w:val="22"/>
              </w:rPr>
              <w:t xml:space="preserve">⚙️  The Mechanism in One Sentence</w:t>
            </w:r>
          </w:p>
          <w:p>
            <w:pPr>
              <w:jc w:val="both"/>
            </w:pPr>
            <w:r>
              <w:rPr>
                <w:rFonts w:ascii="Arial" w:cs="Arial" w:eastAsia="Arial" w:hAnsi="Arial"/>
                <w:sz w:val="21"/>
                <w:szCs w:val="21"/>
              </w:rPr>
              <w:t xml:space="preserve">The λ parameter raises the reward for collective effort; the δ parameter punishes unequal sharing — together they make mutual cooperation the uniquely rational strategy.</w:t>
            </w:r>
          </w:p>
        </w:tc>
      </w:tr>
    </w:tbl>
    <w:p>
      <w:pPr>
        <w:spacing w:after="120"/>
      </w:pPr>
      <w:r>
        <w:rPr>
          <w:rFonts w:ascii="Arial" w:cs="Arial" w:eastAsia="Arial" w:hAnsi="Arial"/>
        </w:rPr>
        <w:t xml:space="preserve"/>
      </w:r>
    </w:p>
    <w:p>
      <w:pPr>
        <w:spacing w:after="180"/>
        <w:jc w:val="both"/>
      </w:pPr>
      <w:r>
        <w:rPr>
          <w:rFonts w:ascii="Arial" w:cs="Arial" w:eastAsia="Arial" w:hAnsi="Arial"/>
          <w:sz w:val="22"/>
          <w:szCs w:val="22"/>
        </w:rPr>
        <w:t xml:space="preserve">We prove (Theorem 1) that for any target effort level between the Nash and socially optimal outcomes, a pair (λ*, δ*) exists such that the unique equilibrium of the modified game is exactly the target. The welfare under this enforcement equilibrium strictly exceeds the Nash welfare (Corollary 1).</w:t>
      </w:r>
    </w:p>
    <w:p>
      <w:pPr>
        <w:spacing w:after="180"/>
        <w:jc w:val="both"/>
      </w:pPr>
      <w:r>
        <w:rPr>
          <w:rFonts w:ascii="Arial" w:cs="Arial" w:eastAsia="Arial" w:hAnsi="Arial"/>
          <w:sz w:val="22"/>
          <w:szCs w:val="22"/>
        </w:rPr>
        <w:t xml:space="preserve">The optimal λ* satisfies a simple fixed-point equation: it is the scaling factor at which the effective marginal benefit of collective effort equals the marginal cost. The optimal δ* must be large enough to deter any unilateral deviation from symmetric effort; we show it is always finite.</w:t>
      </w:r>
    </w:p>
    <w:p>
      <w:pPr>
        <w:spacing w:after="120"/>
      </w:pPr>
      <w:r>
        <w:rPr>
          <w:rFonts w:ascii="Arial" w:cs="Arial" w:eastAsia="Arial" w:hAnsi="Arial"/>
        </w:rPr>
        <w:t xml:space="preserve"/>
      </w:r>
    </w:p>
    <w:p>
      <w:pPr>
        <w:spacing w:after="120"/>
      </w:pPr>
      <w:r>
        <w:rPr>
          <w:rFonts w:ascii="Arial" w:cs="Arial" w:eastAsia="Arial" w:hAnsi="Arial"/>
        </w:rPr>
        <w:t xml:space="preserve"/>
      </w:r>
    </w:p>
    <w:p>
      <w:pPr>
        <w:pStyle w:val="Heading1"/>
        <w:spacing w:after="180" w:before="360"/>
      </w:pPr>
      <w:r>
        <w:rPr>
          <w:rFonts w:ascii="Arial" w:cs="Arial" w:eastAsia="Arial" w:hAnsi="Arial"/>
          <w:b/>
          <w:bCs/>
          <w:color w:val="1B3A6B"/>
          <w:sz w:val="28"/>
          <w:szCs w:val="28"/>
        </w:rPr>
        <w:t xml:space="preserve">4  How Cooperation is Learned Over Time</w:t>
      </w:r>
    </w:p>
    <w:p>
      <w:pPr>
        <w:pStyle w:val="Heading2"/>
        <w:spacing w:after="120" w:before="240"/>
      </w:pPr>
      <w:r>
        <w:rPr>
          <w:rFonts w:ascii="Arial" w:cs="Arial" w:eastAsia="Arial" w:hAnsi="Arial"/>
          <w:b/>
          <w:bCs/>
          <w:color w:val="1B3A6B"/>
          <w:sz w:val="24"/>
          <w:szCs w:val="24"/>
        </w:rPr>
        <w:t xml:space="preserve">4.1  Bayesian Learning (Honkapohja)</w:t>
      </w:r>
    </w:p>
    <w:p>
      <w:pPr>
        <w:spacing w:after="180"/>
        <w:jc w:val="both"/>
      </w:pPr>
      <w:r>
        <w:rPr>
          <w:rFonts w:ascii="Arial" w:cs="Arial" w:eastAsia="Arial" w:hAnsi="Arial"/>
          <w:sz w:val="22"/>
          <w:szCs w:val="22"/>
        </w:rPr>
        <w:t xml:space="preserve">In reality, players do not know the precise payoff parameters. They start with beliefs and update them using Bayes' Rule as they observe outcomes. We show (Theorem 2) that under the λ–δ mechanism, Bayesian learners converge to the enforcement equilibrium with probability one. The mechanism eliminates off-equilibrium attractors, so the learning path has a unique destination: cooperation.</w:t>
      </w:r>
    </w:p>
    <w:p>
      <w:pPr>
        <w:pStyle w:val="Heading2"/>
        <w:spacing w:after="120" w:before="240"/>
      </w:pPr>
      <w:r>
        <w:rPr>
          <w:rFonts w:ascii="Arial" w:cs="Arial" w:eastAsia="Arial" w:hAnsi="Arial"/>
          <w:b/>
          <w:bCs/>
          <w:color w:val="1B3A6B"/>
          <w:sz w:val="24"/>
          <w:szCs w:val="24"/>
        </w:rPr>
        <w:t xml:space="preserve">4.2  Evolutionary Dynamics (Weibull)</w:t>
      </w:r>
    </w:p>
    <w:p>
      <w:pPr>
        <w:spacing w:after="180"/>
        <w:jc w:val="both"/>
      </w:pPr>
      <w:r>
        <w:rPr>
          <w:rFonts w:ascii="Arial" w:cs="Arial" w:eastAsia="Arial" w:hAnsi="Arial"/>
          <w:sz w:val="22"/>
          <w:szCs w:val="22"/>
        </w:rPr>
        <w:t xml:space="preserve">What if players are not Bayesian, but simply copy strategies that perform better? The replicator dynamic models a population where the share of cooperators grows when cooperation outperforms defection. Without enforcement, the cooperators die out. With the λ–δ mechanism and δ &gt; λ(T−R), we prove (Proposition 4) that the entire population converges to full cooperation — regardless of the starting point.</w:t>
      </w:r>
    </w:p>
    <w:p>
      <w:pPr>
        <w:pStyle w:val="Heading2"/>
        <w:spacing w:after="120" w:before="240"/>
      </w:pPr>
      <w:r>
        <w:rPr>
          <w:rFonts w:ascii="Arial" w:cs="Arial" w:eastAsia="Arial" w:hAnsi="Arial"/>
          <w:b/>
          <w:bCs/>
          <w:color w:val="1B3A6B"/>
          <w:sz w:val="24"/>
          <w:szCs w:val="24"/>
        </w:rPr>
        <w:t xml:space="preserve">4.3  From Lizards to Humans: The Biology of Enforcement</w:t>
      </w:r>
    </w:p>
    <w:p>
      <w:pPr>
        <w:spacing w:after="180"/>
        <w:jc w:val="both"/>
      </w:pPr>
      <w:r>
        <w:rPr>
          <w:rFonts w:ascii="Arial" w:cs="Arial" w:eastAsia="Arial" w:hAnsi="Arial"/>
          <w:sz w:val="22"/>
          <w:szCs w:val="22"/>
        </w:rPr>
        <w:t xml:space="preserve">The enforcement logic is ancient. Male side-blotched lizards (Uta stansburiana) display colour signals that honestly commit to cooperative territorial boundaries — a biological δ-penalty for asymmetric aggression. Anthropological evidence (Bowles 2006) shows that between-group conflict sustained cooperative norms in early human societies. Neuroeconomic experiments (Fehr &amp; Fischbacher 2002) reveal that the human brain's insula and dorsal striatum encode norm violations and their punishment — a neural substrate for cooperative enforcement.</w:t>
      </w:r>
    </w:p>
    <w:p>
      <w:pPr>
        <w:spacing w:after="180"/>
        <w:jc w:val="both"/>
      </w:pPr>
      <w:r>
        <w:rPr>
          <w:rFonts w:ascii="Arial" w:cs="Arial" w:eastAsia="Arial" w:hAnsi="Arial"/>
          <w:sz w:val="22"/>
          <w:szCs w:val="22"/>
        </w:rPr>
        <w:t xml:space="preserve">The evolutionary message is clear: commitment to symmetric effort — the core of the δ mechanism — is one of nature's oldest cooperation strategies, refined over millions of years.</w:t>
      </w:r>
    </w:p>
    <w:p>
      <w:pPr>
        <w:spacing w:after="120"/>
      </w:pPr>
      <w:r>
        <w:rPr>
          <w:rFonts w:ascii="Arial" w:cs="Arial" w:eastAsia="Arial" w:hAnsi="Arial"/>
        </w:rPr>
        <w:t xml:space="preserve"/>
      </w:r>
    </w:p>
    <w:p>
      <w:pPr>
        <w:spacing w:after="120"/>
      </w:pPr>
      <w:r>
        <w:rPr>
          <w:rFonts w:ascii="Arial" w:cs="Arial" w:eastAsia="Arial" w:hAnsi="Arial"/>
        </w:rPr>
        <w:t xml:space="preserve"/>
      </w:r>
    </w:p>
    <w:p>
      <w:pPr>
        <w:pStyle w:val="Heading1"/>
        <w:spacing w:after="180" w:before="360"/>
      </w:pPr>
      <w:r>
        <w:rPr>
          <w:rFonts w:ascii="Arial" w:cs="Arial" w:eastAsia="Arial" w:hAnsi="Arial"/>
          <w:b/>
          <w:bCs/>
          <w:color w:val="1B3A6B"/>
          <w:sz w:val="28"/>
          <w:szCs w:val="28"/>
        </w:rPr>
        <w:t xml:space="preserve">5  Applications to International Organisations</w:t>
      </w:r>
    </w:p>
    <w:p>
      <w:pPr>
        <w:pStyle w:val="Heading2"/>
        <w:spacing w:after="120" w:before="240"/>
      </w:pPr>
      <w:r>
        <w:rPr>
          <w:rFonts w:ascii="Arial" w:cs="Arial" w:eastAsia="Arial" w:hAnsi="Arial"/>
          <w:b/>
          <w:bCs/>
          <w:color w:val="1B3A6B"/>
          <w:sz w:val="24"/>
          <w:szCs w:val="24"/>
        </w:rPr>
        <w:t xml:space="preserve">5.1  The Global Climate Game</w:t>
      </w:r>
    </w:p>
    <w:p>
      <w:pPr>
        <w:spacing w:after="180"/>
        <w:jc w:val="both"/>
      </w:pPr>
      <w:r>
        <w:rPr>
          <w:rFonts w:ascii="Arial" w:cs="Arial" w:eastAsia="Arial" w:hAnsi="Arial"/>
          <w:sz w:val="22"/>
          <w:szCs w:val="22"/>
        </w:rPr>
        <w:t xml:space="preserve">Climate change is perhaps the most consequential global Prisoner's Dilemma in history. Each country benefits from others' emission reductions but bears the full cost of its own. Without enforcement, each country free-rides and total abatement falls far short of the social optimum.</w:t>
      </w:r>
    </w:p>
    <w:p>
      <w:pPr>
        <w:pStyle w:val="Heading3"/>
        <w:spacing w:after="90" w:before="180"/>
      </w:pPr>
      <w:r>
        <w:rPr>
          <w:rFonts w:ascii="Arial" w:cs="Arial" w:eastAsia="Arial" w:hAnsi="Arial"/>
          <w:b/>
          <w:bCs/>
          <w:color w:val="C9973A"/>
          <w:sz w:val="22"/>
          <w:szCs w:val="22"/>
        </w:rPr>
        <w:t xml:space="preserve">5.1.1  Game with All 195 UNFCCC Countries</w:t>
      </w:r>
    </w:p>
    <w:p>
      <w:pPr>
        <w:spacing w:after="180"/>
        <w:jc w:val="both"/>
      </w:pPr>
      <w:r>
        <w:rPr>
          <w:rFonts w:ascii="Arial" w:cs="Arial" w:eastAsia="Arial" w:hAnsi="Arial"/>
          <w:sz w:val="22"/>
          <w:szCs w:val="22"/>
        </w:rPr>
        <w:t xml:space="preserve">We model all 195 UNFCCC parties, each choosing an abatement effort. Benefits are logarithmic in total global abatement (reflecting diminishing returns); costs are quadratic in own effort. Country-level parameters — cost efficiency and willingness to pay for a stable climate — are drawn from realistic distributions. Under Nash play, total abatement is 18.3 units; under Kantian enforcement with optimal (λ* = 1.71, δ* = 0.42), it rises to 31.2 units — a 70% increase in absolute terms, closing 90% of the Nash–optimum gap.</w:t>
      </w:r>
    </w:p>
    <w:p>
      <w:pPr>
        <w:pStyle w:val="Heading3"/>
        <w:spacing w:after="90" w:before="180"/>
      </w:pPr>
      <w:r>
        <w:rPr>
          <w:rFonts w:ascii="Arial" w:cs="Arial" w:eastAsia="Arial" w:hAnsi="Arial"/>
          <w:b/>
          <w:bCs/>
          <w:color w:val="C9973A"/>
          <w:sz w:val="22"/>
          <w:szCs w:val="22"/>
        </w:rPr>
        <w:t xml:space="preserve">5.1.2  Game with the Six Largest Polluters and Rest of World</w:t>
      </w:r>
    </w:p>
    <w:p>
      <w:pPr>
        <w:spacing w:after="180"/>
        <w:jc w:val="both"/>
      </w:pPr>
      <w:r>
        <w:rPr>
          <w:rFonts w:ascii="Arial" w:cs="Arial" w:eastAsia="Arial" w:hAnsi="Arial"/>
          <w:sz w:val="22"/>
          <w:szCs w:val="22"/>
        </w:rPr>
        <w:t xml:space="preserve">The six largest CO₂ emitters — China (28.1%), USA (13.7%), India (10.1%), Russia (5.0%), Japan (3.0%), and Germany (2.0%) — together account for 68% of global emissions. We simplify the 195-country game to a two-bloc model: the Big Six vs. the Rest of the World. The bloc structure retains the essential free-riding logic while yielding analytically clean results: the Kantian enforcement mechanism generates a Pareto improvement for both blocs when λ* exceeds the threshold in Proposition 3.</w:t>
      </w:r>
    </w:p>
    <w:p>
      <w:pPr>
        <w:pStyle w:val="Heading2"/>
        <w:spacing w:after="120" w:before="240"/>
      </w:pPr>
      <w:r>
        <w:rPr>
          <w:rFonts w:ascii="Arial" w:cs="Arial" w:eastAsia="Arial" w:hAnsi="Arial"/>
          <w:b/>
          <w:bCs/>
          <w:color w:val="1B3A6B"/>
          <w:sz w:val="24"/>
          <w:szCs w:val="24"/>
        </w:rPr>
        <w:t xml:space="preserve">5.2  UN Security Council: P5 Veto Power</w:t>
      </w:r>
    </w:p>
    <w:p>
      <w:pPr>
        <w:spacing w:after="180"/>
        <w:jc w:val="both"/>
      </w:pPr>
      <w:r>
        <w:rPr>
          <w:rFonts w:ascii="Arial" w:cs="Arial" w:eastAsia="Arial" w:hAnsi="Arial"/>
          <w:sz w:val="22"/>
          <w:szCs w:val="22"/>
        </w:rPr>
        <w:t xml:space="preserve">The UN Security Council has 15 members: 5 permanent members (USA, UK, France, Russia, China) each holding veto power, and 10 non-permanent members with no veto. A resolution passes only if at least 9 members vote yes and no P5 member vetoes.</w:t>
      </w:r>
    </w:p>
    <w:p>
      <w:pPr>
        <w:spacing w:after="180"/>
        <w:jc w:val="both"/>
      </w:pPr>
      <w:r>
        <w:rPr>
          <w:rFonts w:ascii="Arial" w:cs="Arial" w:eastAsia="Arial" w:hAnsi="Arial"/>
          <w:sz w:val="22"/>
          <w:szCs w:val="22"/>
        </w:rPr>
        <w:t xml:space="preserve">We model voting as a Kantian cooperative norm: each member sets a threshold above which they vote yes, and under Kantian reasoning, they choose this threshold imagining all members adopt the same rule. The P5 veto creates an asymmetry: P5 members are structurally "pivotal" far more often than NP10 members. The λ–δ mechanism maps to institutional commitments (λ = coalition burden-sharing) and reputational sanctions from the General Assembly (δ = cost of a vetoed resolution with supermajority support).</w:t>
      </w:r>
    </w:p>
    <w:p>
      <w:pPr>
        <w:spacing w:after="120"/>
      </w:pPr>
      <w:r>
        <w:rPr>
          <w:rFonts w:ascii="Arial" w:cs="Arial" w:eastAsia="Arial" w:hAnsi="Arial"/>
        </w:rPr>
        <w:t xml:space="preserve"/>
      </w:r>
    </w:p>
    <w:p>
      <w:pPr>
        <w:spacing w:after="120"/>
      </w:pPr>
      <w:r>
        <w:rPr>
          <w:rFonts w:ascii="Arial" w:cs="Arial" w:eastAsia="Arial" w:hAnsi="Arial"/>
        </w:rPr>
        <w:t xml:space="preserve"/>
      </w:r>
    </w:p>
    <w:p>
      <w:pPr>
        <w:pStyle w:val="Heading1"/>
        <w:spacing w:after="180" w:before="360"/>
      </w:pPr>
      <w:r>
        <w:rPr>
          <w:rFonts w:ascii="Arial" w:cs="Arial" w:eastAsia="Arial" w:hAnsi="Arial"/>
          <w:b/>
          <w:bCs/>
          <w:color w:val="1B3A6B"/>
          <w:sz w:val="28"/>
          <w:szCs w:val="28"/>
        </w:rPr>
        <w:t xml:space="preserve">6  Results at a Glance</w:t>
      </w:r>
    </w:p>
    <w:p>
      <w:pPr>
        <w:spacing w:after="12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C9973A" w:sz="1"/>
              <w:left w:val="single" w:color="C9973A" w:sz="1"/>
              <w:bottom w:val="single" w:color="C9973A" w:sz="1"/>
              <w:right w:val="single" w:color="C9973A" w:sz="1"/>
            </w:tcBorders>
            <w:shd w:fill="EEF2F8" w:val="clear"/>
            <w:tcMar>
              <w:top w:type="dxa" w:w="120"/>
              <w:left w:type="dxa" w:w="140"/>
              <w:bottom w:type="dxa" w:w="120"/>
              <w:right w:type="dxa" w:w="140"/>
            </w:tcMar>
          </w:tcPr>
          <w:p>
            <w:pPr>
              <w:jc w:val="center"/>
            </w:pPr>
            <w:r>
              <w:rPr>
                <w:rFonts w:ascii="Arial" w:cs="Arial" w:eastAsia="Arial" w:hAnsi="Arial"/>
                <w:b/>
                <w:bCs/>
                <w:color w:val="C9973A"/>
                <w:sz w:val="48"/>
                <w:szCs w:val="48"/>
              </w:rPr>
              <w:t xml:space="preserve">33%</w:t>
            </w:r>
          </w:p>
          <w:p>
            <w:pPr>
              <w:jc w:val="center"/>
            </w:pPr>
            <w:r>
              <w:rPr>
                <w:rFonts w:ascii="Arial" w:cs="Arial" w:eastAsia="Arial" w:hAnsi="Arial"/>
                <w:color w:val="1B3A6B"/>
                <w:sz w:val="18"/>
                <w:szCs w:val="18"/>
              </w:rPr>
              <w:t xml:space="preserve">Welfare gain
(Kantian vs Nash)</w:t>
            </w:r>
          </w:p>
        </w:tc>
        <w:tc>
          <w:tcPr>
            <w:tcW w:type="dxa" w:w="2250"/>
            <w:tcBorders>
              <w:top w:val="single" w:color="C9973A" w:sz="1"/>
              <w:left w:val="single" w:color="C9973A" w:sz="1"/>
              <w:bottom w:val="single" w:color="C9973A" w:sz="1"/>
              <w:right w:val="single" w:color="C9973A" w:sz="1"/>
            </w:tcBorders>
            <w:shd w:fill="EEF2F8" w:val="clear"/>
            <w:tcMar>
              <w:top w:type="dxa" w:w="120"/>
              <w:left w:type="dxa" w:w="140"/>
              <w:bottom w:type="dxa" w:w="120"/>
              <w:right w:type="dxa" w:w="140"/>
            </w:tcMar>
          </w:tcPr>
          <w:p>
            <w:pPr>
              <w:jc w:val="center"/>
            </w:pPr>
            <w:r>
              <w:rPr>
                <w:rFonts w:ascii="Arial" w:cs="Arial" w:eastAsia="Arial" w:hAnsi="Arial"/>
                <w:b/>
                <w:bCs/>
                <w:color w:val="C9973A"/>
                <w:sz w:val="48"/>
                <w:szCs w:val="48"/>
              </w:rPr>
              <w:t xml:space="preserve">1.71</w:t>
            </w:r>
          </w:p>
          <w:p>
            <w:pPr>
              <w:jc w:val="center"/>
            </w:pPr>
            <w:r>
              <w:rPr>
                <w:rFonts w:ascii="Arial" w:cs="Arial" w:eastAsia="Arial" w:hAnsi="Arial"/>
                <w:color w:val="1B3A6B"/>
                <w:sz w:val="18"/>
                <w:szCs w:val="18"/>
              </w:rPr>
              <w:t xml:space="preserve">Optimal λ*
(scaling factor)</w:t>
            </w:r>
          </w:p>
        </w:tc>
        <w:tc>
          <w:tcPr>
            <w:tcW w:type="dxa" w:w="2250"/>
            <w:tcBorders>
              <w:top w:val="single" w:color="C9973A" w:sz="1"/>
              <w:left w:val="single" w:color="C9973A" w:sz="1"/>
              <w:bottom w:val="single" w:color="C9973A" w:sz="1"/>
              <w:right w:val="single" w:color="C9973A" w:sz="1"/>
            </w:tcBorders>
            <w:shd w:fill="EEF2F8" w:val="clear"/>
            <w:tcMar>
              <w:top w:type="dxa" w:w="120"/>
              <w:left w:type="dxa" w:w="140"/>
              <w:bottom w:type="dxa" w:w="120"/>
              <w:right w:type="dxa" w:w="140"/>
            </w:tcMar>
          </w:tcPr>
          <w:p>
            <w:pPr>
              <w:jc w:val="center"/>
            </w:pPr>
            <w:r>
              <w:rPr>
                <w:rFonts w:ascii="Arial" w:cs="Arial" w:eastAsia="Arial" w:hAnsi="Arial"/>
                <w:b/>
                <w:bCs/>
                <w:color w:val="C9973A"/>
                <w:sz w:val="48"/>
                <w:szCs w:val="48"/>
              </w:rPr>
              <w:t xml:space="preserve">0.42</w:t>
            </w:r>
          </w:p>
          <w:p>
            <w:pPr>
              <w:jc w:val="center"/>
            </w:pPr>
            <w:r>
              <w:rPr>
                <w:rFonts w:ascii="Arial" w:cs="Arial" w:eastAsia="Arial" w:hAnsi="Arial"/>
                <w:color w:val="1B3A6B"/>
                <w:sz w:val="18"/>
                <w:szCs w:val="18"/>
              </w:rPr>
              <w:t xml:space="preserve">Optimal δ*
(penalty)</w:t>
            </w:r>
          </w:p>
        </w:tc>
        <w:tc>
          <w:tcPr>
            <w:tcW w:type="dxa" w:w="2250"/>
            <w:tcBorders>
              <w:top w:val="single" w:color="C9973A" w:sz="1"/>
              <w:left w:val="single" w:color="C9973A" w:sz="1"/>
              <w:bottom w:val="single" w:color="C9973A" w:sz="1"/>
              <w:right w:val="single" w:color="C9973A" w:sz="1"/>
            </w:tcBorders>
            <w:shd w:fill="EEF2F8" w:val="clear"/>
            <w:tcMar>
              <w:top w:type="dxa" w:w="120"/>
              <w:left w:type="dxa" w:w="140"/>
              <w:bottom w:type="dxa" w:w="120"/>
              <w:right w:type="dxa" w:w="140"/>
            </w:tcMar>
          </w:tcPr>
          <w:p>
            <w:pPr>
              <w:jc w:val="center"/>
            </w:pPr>
            <w:r>
              <w:rPr>
                <w:rFonts w:ascii="Arial" w:cs="Arial" w:eastAsia="Arial" w:hAnsi="Arial"/>
                <w:b/>
                <w:bCs/>
                <w:color w:val="C9973A"/>
                <w:sz w:val="48"/>
                <w:szCs w:val="48"/>
              </w:rPr>
              <w:t xml:space="preserve">195</w:t>
            </w:r>
          </w:p>
          <w:p>
            <w:pPr>
              <w:jc w:val="center"/>
            </w:pPr>
            <w:r>
              <w:rPr>
                <w:rFonts w:ascii="Arial" w:cs="Arial" w:eastAsia="Arial" w:hAnsi="Arial"/>
                <w:color w:val="1B3A6B"/>
                <w:sz w:val="18"/>
                <w:szCs w:val="18"/>
              </w:rPr>
              <w:t xml:space="preserve">Countries
in climate game</w:t>
            </w:r>
          </w:p>
        </w:tc>
      </w:tr>
    </w:tbl>
    <w:p>
      <w:pPr>
        <w:spacing w:after="120"/>
      </w:pPr>
      <w:r>
        <w:rPr>
          <w:rFonts w:ascii="Arial" w:cs="Arial" w:eastAsia="Arial" w:hAnsi="Arial"/>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5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tcPr>
          <w:p>
            <w:pPr>
              <w:jc w:val="center"/>
            </w:pPr>
            <w:r>
              <w:rPr>
                <w:rFonts w:ascii="Arial" w:cs="Arial" w:eastAsia="Arial" w:hAnsi="Arial"/>
                <w:color w:val="FFFFFF"/>
                <w:sz w:val="20"/>
                <w:szCs w:val="20"/>
              </w:rPr>
              <w:t xml:space="preserve">Nash (No cooperation)</w:t>
            </w:r>
          </w:p>
        </w:tc>
        <w:tc>
          <w:tcPr>
            <w:tcW w:type="dxa" w:w="225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tcPr>
          <w:p>
            <w:pPr>
              <w:jc w:val="center"/>
            </w:pPr>
            <w:r>
              <w:rPr>
                <w:rFonts w:ascii="Arial" w:cs="Arial" w:eastAsia="Arial" w:hAnsi="Arial"/>
                <w:color w:val="FFFFFF"/>
                <w:sz w:val="20"/>
                <w:szCs w:val="20"/>
              </w:rPr>
              <w:t xml:space="preserve">Kantian (Enforced)</w:t>
            </w:r>
          </w:p>
        </w:tc>
        <w:tc>
          <w:tcPr>
            <w:tcW w:type="dxa" w:w="2250"/>
            <w:tcBorders>
              <w:top w:val="single" w:color="AAAAAA" w:sz="1"/>
              <w:left w:val="single" w:color="AAAAAA" w:sz="1"/>
              <w:bottom w:val="single" w:color="AAAAAA" w:sz="1"/>
              <w:right w:val="single" w:color="AAAAAA" w:sz="1"/>
            </w:tcBorders>
            <w:shd w:fill="1B3A6B" w:val="clear"/>
            <w:tcMar>
              <w:top w:type="dxa" w:w="80"/>
              <w:left w:type="dxa" w:w="120"/>
              <w:bottom w:type="dxa" w:w="80"/>
              <w:right w:type="dxa" w:w="120"/>
            </w:tcMar>
          </w:tcPr>
          <w:p>
            <w:pPr>
              <w:jc w:val="center"/>
            </w:pPr>
            <w:r>
              <w:rPr>
                <w:rFonts w:ascii="Arial" w:cs="Arial" w:eastAsia="Arial" w:hAnsi="Arial"/>
                <w:color w:val="FFFFFF"/>
                <w:sz w:val="20"/>
                <w:szCs w:val="20"/>
              </w:rPr>
              <w:t xml:space="preserve">Social Optimum</w:t>
            </w:r>
          </w:p>
        </w:tc>
      </w:tr>
      <w:tr>
        <w:tc>
          <w:tcPr>
            <w:tcW w:type="dxa" w:w="22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B3A6B"/>
                <w:sz w:val="20"/>
                <w:szCs w:val="20"/>
              </w:rPr>
              <w:t xml:space="preserve">Total abatement</w:t>
            </w:r>
          </w:p>
        </w:tc>
        <w:tc>
          <w:tcPr>
            <w:tcW w:type="dxa" w:w="2250"/>
            <w:tcBorders>
              <w:top w:val="single" w:color="AAAAAA" w:sz="1"/>
              <w:left w:val="single" w:color="AAAAAA" w:sz="1"/>
              <w:bottom w:val="single" w:color="AAAAAA" w:sz="1"/>
              <w:right w:val="single" w:color="AAAAAA" w:sz="1"/>
            </w:tcBorders>
            <w:shd w:fill="FFF5F5" w:val="clear"/>
            <w:tcMar>
              <w:top w:type="dxa" w:w="80"/>
              <w:left w:type="dxa" w:w="120"/>
              <w:bottom w:type="dxa" w:w="80"/>
              <w:right w:type="dxa" w:w="120"/>
            </w:tcMar>
          </w:tcPr>
          <w:p>
            <w:pPr>
              <w:jc w:val="center"/>
            </w:pPr>
            <w:r>
              <w:rPr>
                <w:rFonts w:ascii="Arial" w:cs="Arial" w:eastAsia="Arial" w:hAnsi="Arial"/>
                <w:color w:val="CC3333"/>
                <w:sz w:val="20"/>
                <w:szCs w:val="20"/>
              </w:rPr>
              <w:t xml:space="preserve">18.3 units</w:t>
            </w:r>
          </w:p>
        </w:tc>
        <w:tc>
          <w:tcPr>
            <w:tcW w:type="dxa" w:w="2250"/>
            <w:tcBorders>
              <w:top w:val="single" w:color="AAAAAA" w:sz="1"/>
              <w:left w:val="single" w:color="AAAAAA" w:sz="1"/>
              <w:bottom w:val="single" w:color="AAAAAA" w:sz="1"/>
              <w:right w:val="single" w:color="AAAAAA" w:sz="1"/>
            </w:tcBorders>
            <w:shd w:fill="F0FFF4" w:val="clear"/>
            <w:tcMar>
              <w:top w:type="dxa" w:w="80"/>
              <w:left w:type="dxa" w:w="120"/>
              <w:bottom w:type="dxa" w:w="80"/>
              <w:right w:type="dxa" w:w="120"/>
            </w:tcMar>
          </w:tcPr>
          <w:p>
            <w:pPr>
              <w:jc w:val="center"/>
            </w:pPr>
            <w:r>
              <w:rPr>
                <w:rFonts w:ascii="Arial" w:cs="Arial" w:eastAsia="Arial" w:hAnsi="Arial"/>
                <w:color w:val="1B7A3A"/>
                <w:sz w:val="20"/>
                <w:szCs w:val="20"/>
              </w:rPr>
              <w:t xml:space="preserve">31.2 units</w:t>
            </w:r>
          </w:p>
        </w:tc>
        <w:tc>
          <w:tcPr>
            <w:tcW w:type="dxa" w:w="225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pPr>
              <w:jc w:val="center"/>
            </w:pPr>
            <w:r>
              <w:rPr>
                <w:rFonts w:ascii="Arial" w:cs="Arial" w:eastAsia="Arial" w:hAnsi="Arial"/>
                <w:color w:val="1B3A6B"/>
                <w:sz w:val="20"/>
                <w:szCs w:val="20"/>
              </w:rPr>
              <w:t xml:space="preserve">34.6 units</w:t>
            </w:r>
          </w:p>
        </w:tc>
      </w:tr>
      <w:tr>
        <w:tc>
          <w:tcPr>
            <w:tcW w:type="dxa" w:w="22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B3A6B"/>
                <w:sz w:val="20"/>
                <w:szCs w:val="20"/>
              </w:rPr>
              <w:t xml:space="preserve">Global welfare</w:t>
            </w:r>
          </w:p>
        </w:tc>
        <w:tc>
          <w:tcPr>
            <w:tcW w:type="dxa" w:w="2250"/>
            <w:tcBorders>
              <w:top w:val="single" w:color="AAAAAA" w:sz="1"/>
              <w:left w:val="single" w:color="AAAAAA" w:sz="1"/>
              <w:bottom w:val="single" w:color="AAAAAA" w:sz="1"/>
              <w:right w:val="single" w:color="AAAAAA" w:sz="1"/>
            </w:tcBorders>
            <w:shd w:fill="FFF5F5" w:val="clear"/>
            <w:tcMar>
              <w:top w:type="dxa" w:w="80"/>
              <w:left w:type="dxa" w:w="120"/>
              <w:bottom w:type="dxa" w:w="80"/>
              <w:right w:type="dxa" w:w="120"/>
            </w:tcMar>
          </w:tcPr>
          <w:p>
            <w:pPr>
              <w:jc w:val="center"/>
            </w:pPr>
            <w:r>
              <w:rPr>
                <w:rFonts w:ascii="Arial" w:cs="Arial" w:eastAsia="Arial" w:hAnsi="Arial"/>
                <w:color w:val="CC3333"/>
                <w:sz w:val="20"/>
                <w:szCs w:val="20"/>
              </w:rPr>
              <w:t xml:space="preserve">142.1</w:t>
            </w:r>
          </w:p>
        </w:tc>
        <w:tc>
          <w:tcPr>
            <w:tcW w:type="dxa" w:w="2250"/>
            <w:tcBorders>
              <w:top w:val="single" w:color="AAAAAA" w:sz="1"/>
              <w:left w:val="single" w:color="AAAAAA" w:sz="1"/>
              <w:bottom w:val="single" w:color="AAAAAA" w:sz="1"/>
              <w:right w:val="single" w:color="AAAAAA" w:sz="1"/>
            </w:tcBorders>
            <w:shd w:fill="F0FFF4" w:val="clear"/>
            <w:tcMar>
              <w:top w:type="dxa" w:w="80"/>
              <w:left w:type="dxa" w:w="120"/>
              <w:bottom w:type="dxa" w:w="80"/>
              <w:right w:type="dxa" w:w="120"/>
            </w:tcMar>
          </w:tcPr>
          <w:p>
            <w:pPr>
              <w:jc w:val="center"/>
            </w:pPr>
            <w:r>
              <w:rPr>
                <w:rFonts w:ascii="Arial" w:cs="Arial" w:eastAsia="Arial" w:hAnsi="Arial"/>
                <w:color w:val="1B7A3A"/>
                <w:sz w:val="20"/>
                <w:szCs w:val="20"/>
              </w:rPr>
              <w:t xml:space="preserve">189.7</w:t>
            </w:r>
          </w:p>
        </w:tc>
        <w:tc>
          <w:tcPr>
            <w:tcW w:type="dxa" w:w="225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pPr>
              <w:jc w:val="center"/>
            </w:pPr>
            <w:r>
              <w:rPr>
                <w:rFonts w:ascii="Arial" w:cs="Arial" w:eastAsia="Arial" w:hAnsi="Arial"/>
                <w:color w:val="1B3A6B"/>
                <w:sz w:val="20"/>
                <w:szCs w:val="20"/>
              </w:rPr>
              <w:t xml:space="preserve">195.3</w:t>
            </w:r>
          </w:p>
        </w:tc>
      </w:tr>
      <w:tr>
        <w:tc>
          <w:tcPr>
            <w:tcW w:type="dxa" w:w="22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B3A6B"/>
                <w:sz w:val="20"/>
                <w:szCs w:val="20"/>
              </w:rPr>
              <w:t xml:space="preserve">Scaling factor λ</w:t>
            </w:r>
          </w:p>
        </w:tc>
        <w:tc>
          <w:tcPr>
            <w:tcW w:type="dxa" w:w="2250"/>
            <w:tcBorders>
              <w:top w:val="single" w:color="AAAAAA" w:sz="1"/>
              <w:left w:val="single" w:color="AAAAAA" w:sz="1"/>
              <w:bottom w:val="single" w:color="AAAAAA" w:sz="1"/>
              <w:right w:val="single" w:color="AAAAAA" w:sz="1"/>
            </w:tcBorders>
            <w:shd w:fill="FFF5F5" w:val="clear"/>
            <w:tcMar>
              <w:top w:type="dxa" w:w="80"/>
              <w:left w:type="dxa" w:w="120"/>
              <w:bottom w:type="dxa" w:w="80"/>
              <w:right w:type="dxa" w:w="120"/>
            </w:tcMar>
          </w:tcPr>
          <w:p>
            <w:pPr>
              <w:jc w:val="center"/>
            </w:pPr>
            <w:r>
              <w:rPr>
                <w:rFonts w:ascii="Arial" w:cs="Arial" w:eastAsia="Arial" w:hAnsi="Arial"/>
                <w:color w:val="CC3333"/>
                <w:sz w:val="20"/>
                <w:szCs w:val="20"/>
              </w:rPr>
              <w:t xml:space="preserve">1.00 (none)</w:t>
            </w:r>
          </w:p>
        </w:tc>
        <w:tc>
          <w:tcPr>
            <w:tcW w:type="dxa" w:w="2250"/>
            <w:tcBorders>
              <w:top w:val="single" w:color="AAAAAA" w:sz="1"/>
              <w:left w:val="single" w:color="AAAAAA" w:sz="1"/>
              <w:bottom w:val="single" w:color="AAAAAA" w:sz="1"/>
              <w:right w:val="single" w:color="AAAAAA" w:sz="1"/>
            </w:tcBorders>
            <w:shd w:fill="F0FFF4" w:val="clear"/>
            <w:tcMar>
              <w:top w:type="dxa" w:w="80"/>
              <w:left w:type="dxa" w:w="120"/>
              <w:bottom w:type="dxa" w:w="80"/>
              <w:right w:type="dxa" w:w="120"/>
            </w:tcMar>
          </w:tcPr>
          <w:p>
            <w:pPr>
              <w:jc w:val="center"/>
            </w:pPr>
            <w:r>
              <w:rPr>
                <w:rFonts w:ascii="Arial" w:cs="Arial" w:eastAsia="Arial" w:hAnsi="Arial"/>
                <w:color w:val="1B7A3A"/>
                <w:sz w:val="20"/>
                <w:szCs w:val="20"/>
              </w:rPr>
              <w:t xml:space="preserve">1.71</w:t>
            </w:r>
          </w:p>
        </w:tc>
        <w:tc>
          <w:tcPr>
            <w:tcW w:type="dxa" w:w="225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pPr>
              <w:jc w:val="center"/>
            </w:pPr>
            <w:r>
              <w:rPr>
                <w:rFonts w:ascii="Arial" w:cs="Arial" w:eastAsia="Arial" w:hAnsi="Arial"/>
                <w:color w:val="1B3A6B"/>
                <w:sz w:val="20"/>
                <w:szCs w:val="20"/>
              </w:rPr>
              <w:t xml:space="preserve">—</w:t>
            </w:r>
          </w:p>
        </w:tc>
      </w:tr>
      <w:tr>
        <w:tc>
          <w:tcPr>
            <w:tcW w:type="dxa" w:w="22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B3A6B"/>
                <w:sz w:val="20"/>
                <w:szCs w:val="20"/>
              </w:rPr>
              <w:t xml:space="preserve">Penalty δ</w:t>
            </w:r>
          </w:p>
        </w:tc>
        <w:tc>
          <w:tcPr>
            <w:tcW w:type="dxa" w:w="2250"/>
            <w:tcBorders>
              <w:top w:val="single" w:color="AAAAAA" w:sz="1"/>
              <w:left w:val="single" w:color="AAAAAA" w:sz="1"/>
              <w:bottom w:val="single" w:color="AAAAAA" w:sz="1"/>
              <w:right w:val="single" w:color="AAAAAA" w:sz="1"/>
            </w:tcBorders>
            <w:shd w:fill="FFF5F5" w:val="clear"/>
            <w:tcMar>
              <w:top w:type="dxa" w:w="80"/>
              <w:left w:type="dxa" w:w="120"/>
              <w:bottom w:type="dxa" w:w="80"/>
              <w:right w:type="dxa" w:w="120"/>
            </w:tcMar>
          </w:tcPr>
          <w:p>
            <w:pPr>
              <w:jc w:val="center"/>
            </w:pPr>
            <w:r>
              <w:rPr>
                <w:rFonts w:ascii="Arial" w:cs="Arial" w:eastAsia="Arial" w:hAnsi="Arial"/>
                <w:color w:val="CC3333"/>
                <w:sz w:val="20"/>
                <w:szCs w:val="20"/>
              </w:rPr>
              <w:t xml:space="preserve">0 (none)</w:t>
            </w:r>
          </w:p>
        </w:tc>
        <w:tc>
          <w:tcPr>
            <w:tcW w:type="dxa" w:w="2250"/>
            <w:tcBorders>
              <w:top w:val="single" w:color="AAAAAA" w:sz="1"/>
              <w:left w:val="single" w:color="AAAAAA" w:sz="1"/>
              <w:bottom w:val="single" w:color="AAAAAA" w:sz="1"/>
              <w:right w:val="single" w:color="AAAAAA" w:sz="1"/>
            </w:tcBorders>
            <w:shd w:fill="F0FFF4" w:val="clear"/>
            <w:tcMar>
              <w:top w:type="dxa" w:w="80"/>
              <w:left w:type="dxa" w:w="120"/>
              <w:bottom w:type="dxa" w:w="80"/>
              <w:right w:type="dxa" w:w="120"/>
            </w:tcMar>
          </w:tcPr>
          <w:p>
            <w:pPr>
              <w:jc w:val="center"/>
            </w:pPr>
            <w:r>
              <w:rPr>
                <w:rFonts w:ascii="Arial" w:cs="Arial" w:eastAsia="Arial" w:hAnsi="Arial"/>
                <w:color w:val="1B7A3A"/>
                <w:sz w:val="20"/>
                <w:szCs w:val="20"/>
              </w:rPr>
              <w:t xml:space="preserve">0.42</w:t>
            </w:r>
          </w:p>
        </w:tc>
        <w:tc>
          <w:tcPr>
            <w:tcW w:type="dxa" w:w="225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pPr>
              <w:jc w:val="center"/>
            </w:pPr>
            <w:r>
              <w:rPr>
                <w:rFonts w:ascii="Arial" w:cs="Arial" w:eastAsia="Arial" w:hAnsi="Arial"/>
                <w:color w:val="1B3A6B"/>
                <w:sz w:val="20"/>
                <w:szCs w:val="20"/>
              </w:rPr>
              <w:t xml:space="preserve">—</w:t>
            </w:r>
          </w:p>
        </w:tc>
      </w:tr>
      <w:tr>
        <w:tc>
          <w:tcPr>
            <w:tcW w:type="dxa" w:w="22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B3A6B"/>
                <w:sz w:val="20"/>
                <w:szCs w:val="20"/>
              </w:rPr>
              <w:t xml:space="preserve">Welfare gain</w:t>
            </w:r>
          </w:p>
        </w:tc>
        <w:tc>
          <w:tcPr>
            <w:tcW w:type="dxa" w:w="2250"/>
            <w:tcBorders>
              <w:top w:val="single" w:color="AAAAAA" w:sz="1"/>
              <w:left w:val="single" w:color="AAAAAA" w:sz="1"/>
              <w:bottom w:val="single" w:color="AAAAAA" w:sz="1"/>
              <w:right w:val="single" w:color="AAAAAA" w:sz="1"/>
            </w:tcBorders>
            <w:shd w:fill="FFF5F5" w:val="clear"/>
            <w:tcMar>
              <w:top w:type="dxa" w:w="80"/>
              <w:left w:type="dxa" w:w="120"/>
              <w:bottom w:type="dxa" w:w="80"/>
              <w:right w:type="dxa" w:w="120"/>
            </w:tcMar>
          </w:tcPr>
          <w:p>
            <w:pPr>
              <w:jc w:val="center"/>
            </w:pPr>
            <w:r>
              <w:rPr>
                <w:rFonts w:ascii="Arial" w:cs="Arial" w:eastAsia="Arial" w:hAnsi="Arial"/>
                <w:color w:val="CC3333"/>
                <w:sz w:val="20"/>
                <w:szCs w:val="20"/>
              </w:rPr>
              <w:t xml:space="preserve">Baseline</w:t>
            </w:r>
          </w:p>
        </w:tc>
        <w:tc>
          <w:tcPr>
            <w:tcW w:type="dxa" w:w="2250"/>
            <w:tcBorders>
              <w:top w:val="single" w:color="AAAAAA" w:sz="1"/>
              <w:left w:val="single" w:color="AAAAAA" w:sz="1"/>
              <w:bottom w:val="single" w:color="AAAAAA" w:sz="1"/>
              <w:right w:val="single" w:color="AAAAAA" w:sz="1"/>
            </w:tcBorders>
            <w:shd w:fill="F0FFF4" w:val="clear"/>
            <w:tcMar>
              <w:top w:type="dxa" w:w="80"/>
              <w:left w:type="dxa" w:w="120"/>
              <w:bottom w:type="dxa" w:w="80"/>
              <w:right w:type="dxa" w:w="120"/>
            </w:tcMar>
          </w:tcPr>
          <w:p>
            <w:pPr>
              <w:jc w:val="center"/>
            </w:pPr>
            <w:r>
              <w:rPr>
                <w:rFonts w:ascii="Arial" w:cs="Arial" w:eastAsia="Arial" w:hAnsi="Arial"/>
                <w:color w:val="1B7A3A"/>
                <w:sz w:val="20"/>
                <w:szCs w:val="20"/>
              </w:rPr>
              <w:t xml:space="preserve">+33.5%</w:t>
            </w:r>
          </w:p>
        </w:tc>
        <w:tc>
          <w:tcPr>
            <w:tcW w:type="dxa" w:w="225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pPr>
              <w:jc w:val="center"/>
            </w:pPr>
            <w:r>
              <w:rPr>
                <w:rFonts w:ascii="Arial" w:cs="Arial" w:eastAsia="Arial" w:hAnsi="Arial"/>
                <w:color w:val="1B3A6B"/>
                <w:sz w:val="20"/>
                <w:szCs w:val="20"/>
              </w:rPr>
              <w:t xml:space="preserve">+37.4%</w:t>
            </w:r>
          </w:p>
        </w:tc>
      </w:tr>
      <w:tr>
        <w:tc>
          <w:tcPr>
            <w:tcW w:type="dxa" w:w="225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B3A6B"/>
                <w:sz w:val="20"/>
                <w:szCs w:val="20"/>
              </w:rPr>
              <w:t xml:space="preserve">UNSC passage rate</w:t>
            </w:r>
          </w:p>
        </w:tc>
        <w:tc>
          <w:tcPr>
            <w:tcW w:type="dxa" w:w="2250"/>
            <w:tcBorders>
              <w:top w:val="single" w:color="AAAAAA" w:sz="1"/>
              <w:left w:val="single" w:color="AAAAAA" w:sz="1"/>
              <w:bottom w:val="single" w:color="AAAAAA" w:sz="1"/>
              <w:right w:val="single" w:color="AAAAAA" w:sz="1"/>
            </w:tcBorders>
            <w:shd w:fill="FFF5F5" w:val="clear"/>
            <w:tcMar>
              <w:top w:type="dxa" w:w="80"/>
              <w:left w:type="dxa" w:w="120"/>
              <w:bottom w:type="dxa" w:w="80"/>
              <w:right w:type="dxa" w:w="120"/>
            </w:tcMar>
          </w:tcPr>
          <w:p>
            <w:pPr>
              <w:jc w:val="center"/>
            </w:pPr>
            <w:r>
              <w:rPr>
                <w:rFonts w:ascii="Arial" w:cs="Arial" w:eastAsia="Arial" w:hAnsi="Arial"/>
                <w:color w:val="CC3333"/>
                <w:sz w:val="20"/>
                <w:szCs w:val="20"/>
              </w:rPr>
              <w:t xml:space="preserve">42%</w:t>
            </w:r>
          </w:p>
        </w:tc>
        <w:tc>
          <w:tcPr>
            <w:tcW w:type="dxa" w:w="2250"/>
            <w:tcBorders>
              <w:top w:val="single" w:color="AAAAAA" w:sz="1"/>
              <w:left w:val="single" w:color="AAAAAA" w:sz="1"/>
              <w:bottom w:val="single" w:color="AAAAAA" w:sz="1"/>
              <w:right w:val="single" w:color="AAAAAA" w:sz="1"/>
            </w:tcBorders>
            <w:shd w:fill="F0FFF4" w:val="clear"/>
            <w:tcMar>
              <w:top w:type="dxa" w:w="80"/>
              <w:left w:type="dxa" w:w="120"/>
              <w:bottom w:type="dxa" w:w="80"/>
              <w:right w:type="dxa" w:w="120"/>
            </w:tcMar>
          </w:tcPr>
          <w:p>
            <w:pPr>
              <w:jc w:val="center"/>
            </w:pPr>
            <w:r>
              <w:rPr>
                <w:rFonts w:ascii="Arial" w:cs="Arial" w:eastAsia="Arial" w:hAnsi="Arial"/>
                <w:color w:val="1B7A3A"/>
                <w:sz w:val="20"/>
                <w:szCs w:val="20"/>
              </w:rPr>
              <w:t xml:space="preserve">67%</w:t>
            </w:r>
          </w:p>
        </w:tc>
        <w:tc>
          <w:tcPr>
            <w:tcW w:type="dxa" w:w="2250"/>
            <w:tcBorders>
              <w:top w:val="single" w:color="AAAAAA" w:sz="1"/>
              <w:left w:val="single" w:color="AAAAAA" w:sz="1"/>
              <w:bottom w:val="single" w:color="AAAAAA" w:sz="1"/>
              <w:right w:val="single" w:color="AAAAAA" w:sz="1"/>
            </w:tcBorders>
            <w:shd w:fill="EEF2F8" w:val="clear"/>
            <w:tcMar>
              <w:top w:type="dxa" w:w="80"/>
              <w:left w:type="dxa" w:w="120"/>
              <w:bottom w:type="dxa" w:w="80"/>
              <w:right w:type="dxa" w:w="120"/>
            </w:tcMar>
          </w:tcPr>
          <w:p>
            <w:pPr>
              <w:jc w:val="center"/>
            </w:pPr>
            <w:r>
              <w:rPr>
                <w:rFonts w:ascii="Arial" w:cs="Arial" w:eastAsia="Arial" w:hAnsi="Arial"/>
                <w:color w:val="1B3A6B"/>
                <w:sz w:val="20"/>
                <w:szCs w:val="20"/>
              </w:rPr>
              <w:t xml:space="preserve">71%</w:t>
            </w:r>
          </w:p>
        </w:tc>
      </w:tr>
    </w:tbl>
    <w:p>
      <w:pPr>
        <w:spacing w:after="120"/>
      </w:pPr>
      <w:r>
        <w:rPr>
          <w:rFonts w:ascii="Arial" w:cs="Arial" w:eastAsia="Arial" w:hAnsi="Arial"/>
        </w:rPr>
        <w:t xml:space="preserve"/>
      </w:r>
    </w:p>
    <w:p>
      <w:pPr>
        <w:spacing w:after="180"/>
        <w:jc w:val="both"/>
      </w:pPr>
      <w:r>
        <w:rPr>
          <w:rFonts w:ascii="Arial" w:cs="Arial" w:eastAsia="Arial" w:hAnsi="Arial"/>
          <w:sz w:val="22"/>
          <w:szCs w:val="22"/>
        </w:rPr>
        <w:t xml:space="preserve">The numbers tell a consistent story: Kantian enforcement, implemented through a pair of institutional parameters (λ, δ), delivers welfare gains of around one-third relative to Nash — without requiring altruism, side payments, or centralised authority. Players remain self-interested; the mechanism simply changes what self-interest recommends.</w:t>
      </w:r>
    </w:p>
    <w:p>
      <w:pPr>
        <w:spacing w:after="120"/>
      </w:pPr>
      <w:r>
        <w:rPr>
          <w:rFonts w:ascii="Arial" w:cs="Arial" w:eastAsia="Arial" w:hAnsi="Arial"/>
        </w:rPr>
        <w:t xml:space="preserve"/>
      </w:r>
    </w:p>
    <w:p>
      <w:pPr>
        <w:spacing w:after="120"/>
      </w:pPr>
      <w:r>
        <w:rPr>
          <w:rFonts w:ascii="Arial" w:cs="Arial" w:eastAsia="Arial" w:hAnsi="Arial"/>
        </w:rPr>
        <w:t xml:space="preserve"/>
      </w:r>
    </w:p>
    <w:p>
      <w:pPr>
        <w:pStyle w:val="Heading1"/>
        <w:spacing w:after="180" w:before="360"/>
      </w:pPr>
      <w:r>
        <w:rPr>
          <w:rFonts w:ascii="Arial" w:cs="Arial" w:eastAsia="Arial" w:hAnsi="Arial"/>
          <w:b/>
          <w:bCs/>
          <w:color w:val="1B3A6B"/>
          <w:sz w:val="28"/>
          <w:szCs w:val="28"/>
        </w:rPr>
        <w:t xml:space="preserve">7  Discussion</w:t>
      </w:r>
    </w:p>
    <w:p>
      <w:pPr>
        <w:pStyle w:val="Heading2"/>
        <w:spacing w:after="120" w:before="240"/>
      </w:pPr>
      <w:r>
        <w:rPr>
          <w:rFonts w:ascii="Arial" w:cs="Arial" w:eastAsia="Arial" w:hAnsi="Arial"/>
          <w:b/>
          <w:bCs/>
          <w:color w:val="1B3A6B"/>
          <w:sz w:val="24"/>
          <w:szCs w:val="24"/>
        </w:rPr>
        <w:t xml:space="preserve">Real-World Parallels</w:t>
      </w:r>
    </w:p>
    <w:p>
      <w:pPr>
        <w:spacing w:after="180"/>
        <w:jc w:val="both"/>
      </w:pPr>
      <w:r>
        <w:rPr>
          <w:rFonts w:ascii="Arial" w:cs="Arial" w:eastAsia="Arial" w:hAnsi="Arial"/>
          <w:sz w:val="22"/>
          <w:szCs w:val="22"/>
        </w:rPr>
        <w:t xml:space="preserve">The λ–δ mechanism has natural institutional counterparts. In climate policy, λ &gt; 1 corresponds to the Paris Agreement's "ratchet clause" — commitments that amplify over successive NDC rounds. The δ &gt; 0 penalty corresponds to Border Carbon Adjustments or technology-transfer conditions that reward symmetric effort across trading partners.</w:t>
      </w:r>
    </w:p>
    <w:p>
      <w:pPr>
        <w:spacing w:after="180"/>
        <w:jc w:val="both"/>
      </w:pPr>
      <w:r>
        <w:rPr>
          <w:rFonts w:ascii="Arial" w:cs="Arial" w:eastAsia="Arial" w:hAnsi="Arial"/>
          <w:sz w:val="22"/>
          <w:szCs w:val="22"/>
        </w:rPr>
        <w:t xml:space="preserve">In the Security Council, λ maps to NATO-style burden-sharing pledges among P5 members, while δ corresponds to General Assembly reputational costs imposed for strategic vetoes on resolutions that command overwhelming support. These are not hypothetical instruments — variants of each already exist in international law.</w:t>
      </w:r>
    </w:p>
    <w:p>
      <w:pPr>
        <w:pStyle w:val="Heading2"/>
        <w:spacing w:after="120" w:before="240"/>
      </w:pPr>
      <w:r>
        <w:rPr>
          <w:rFonts w:ascii="Arial" w:cs="Arial" w:eastAsia="Arial" w:hAnsi="Arial"/>
          <w:b/>
          <w:bCs/>
          <w:color w:val="1B3A6B"/>
          <w:sz w:val="24"/>
          <w:szCs w:val="24"/>
        </w:rPr>
        <w:t xml:space="preserve">Limitations and Future Work</w:t>
      </w:r>
    </w:p>
    <w:p>
      <w:pPr>
        <w:spacing w:after="180"/>
        <w:jc w:val="both"/>
      </w:pPr>
      <w:r>
        <w:rPr>
          <w:rFonts w:ascii="Arial" w:cs="Arial" w:eastAsia="Arial" w:hAnsi="Arial"/>
          <w:sz w:val="22"/>
          <w:szCs w:val="22"/>
        </w:rPr>
        <w:t xml:space="preserve">Several limitations deserve acknowledgement and suggest directions for future research:</w:t>
      </w:r>
    </w:p>
    <w:p>
      <w:pPr>
        <w:pStyle w:val="ListParagraph"/>
        <w:numPr>
          <w:ilvl w:val="0"/>
          <w:numId w:val="2"/>
        </w:numPr>
        <w:spacing w:after="120"/>
      </w:pPr>
      <w:r>
        <w:rPr>
          <w:rFonts w:ascii="Arial" w:cs="Arial" w:eastAsia="Arial" w:hAnsi="Arial"/>
          <w:sz w:val="22"/>
          <w:szCs w:val="22"/>
        </w:rPr>
        <w:t xml:space="preserve">Heterogeneity: Our analysis focuses on symmetric players. Asymmetric enforcement — where λ and δ are tailored to each player's cost structure — requires a richer mechanism.</w:t>
      </w:r>
    </w:p>
    <w:p>
      <w:pPr>
        <w:pStyle w:val="ListParagraph"/>
        <w:numPr>
          <w:ilvl w:val="0"/>
          <w:numId w:val="2"/>
        </w:numPr>
        <w:spacing w:after="120"/>
      </w:pPr>
      <w:r>
        <w:rPr>
          <w:rFonts w:ascii="Arial" w:cs="Arial" w:eastAsia="Arial" w:hAnsi="Arial"/>
          <w:sz w:val="22"/>
          <w:szCs w:val="22"/>
        </w:rPr>
        <w:t xml:space="preserve">Private Information: Abatement costs and preference parameters are typically unobserved. A mechanism-design extension with incentive-compatible type revelation is left for future work.</w:t>
      </w:r>
    </w:p>
    <w:p>
      <w:pPr>
        <w:pStyle w:val="ListParagraph"/>
        <w:numPr>
          <w:ilvl w:val="0"/>
          <w:numId w:val="2"/>
        </w:numPr>
        <w:spacing w:after="120"/>
      </w:pPr>
      <w:r>
        <w:rPr>
          <w:rFonts w:ascii="Arial" w:cs="Arial" w:eastAsia="Arial" w:hAnsi="Arial"/>
          <w:sz w:val="22"/>
          <w:szCs w:val="22"/>
        </w:rPr>
        <w:t xml:space="preserve">Renegotiation: The threat of imposing δ must be credible ex post. If the punishing institution can itself be renegotiated, the mechanism may unravel.</w:t>
      </w:r>
    </w:p>
    <w:p>
      <w:pPr>
        <w:pStyle w:val="ListParagraph"/>
        <w:numPr>
          <w:ilvl w:val="0"/>
          <w:numId w:val="2"/>
        </w:numPr>
        <w:spacing w:after="120"/>
      </w:pPr>
      <w:r>
        <w:rPr>
          <w:rFonts w:ascii="Arial" w:cs="Arial" w:eastAsia="Arial" w:hAnsi="Arial"/>
          <w:sz w:val="22"/>
          <w:szCs w:val="22"/>
        </w:rPr>
        <w:t xml:space="preserve">Empirical Calibration: Monte Carlo results are suggestive but not directly estimated from data. Structural estimation using observed NDC submissions and UNSC voting records is a natural next step.</w:t>
      </w:r>
    </w:p>
    <w:p>
      <w:pPr>
        <w:spacing w:after="120"/>
      </w:pPr>
      <w:r>
        <w:rPr>
          <w:rFonts w:ascii="Arial" w:cs="Arial" w:eastAsia="Arial" w:hAnsi="Arial"/>
        </w:rPr>
        <w:t xml:space="preserve"/>
      </w:r>
    </w:p>
    <w:p>
      <w:pPr>
        <w:spacing w:after="120"/>
      </w:pPr>
      <w:r>
        <w:rPr>
          <w:rFonts w:ascii="Arial" w:cs="Arial" w:eastAsia="Arial" w:hAnsi="Arial"/>
        </w:rPr>
        <w:t xml:space="preserve"/>
      </w:r>
    </w:p>
    <w:p>
      <w:pPr>
        <w:pStyle w:val="Heading1"/>
        <w:spacing w:after="180" w:before="360"/>
      </w:pPr>
      <w:r>
        <w:rPr>
          <w:rFonts w:ascii="Arial" w:cs="Arial" w:eastAsia="Arial" w:hAnsi="Arial"/>
          <w:b/>
          <w:bCs/>
          <w:color w:val="1B3A6B"/>
          <w:sz w:val="28"/>
          <w:szCs w:val="28"/>
        </w:rPr>
        <w:t xml:space="preserve">8  Conclusion</w:t>
      </w:r>
    </w:p>
    <w:p>
      <w:pPr>
        <w:spacing w:after="180"/>
        <w:jc w:val="both"/>
      </w:pPr>
      <w:r>
        <w:rPr>
          <w:rFonts w:ascii="Arial" w:cs="Arial" w:eastAsia="Arial" w:hAnsi="Arial"/>
          <w:sz w:val="22"/>
          <w:szCs w:val="22"/>
        </w:rPr>
        <w:t xml:space="preserve">We have shown that Kantian equilibria — cooperative outcomes in which players act as if their choices were universal laws — can be enforced through a simple two-parameter mechanism: a scaling factor λ &gt; 1 that amplifies the rewards of collective effort, and a symmetry penalty δ &gt; 0 that deters free-riding.</w:t>
      </w:r>
    </w:p>
    <w:p>
      <w:pPr>
        <w:spacing w:after="180"/>
        <w:jc w:val="both"/>
      </w:pPr>
      <w:r>
        <w:rPr>
          <w:rFonts w:ascii="Arial" w:cs="Arial" w:eastAsia="Arial" w:hAnsi="Arial"/>
          <w:sz w:val="22"/>
          <w:szCs w:val="22"/>
        </w:rPr>
        <w:t xml:space="preserve">The mechanism works regardless of how players learn: Bayesian updaters converge to it; evolutionary populations are attracted to it. The biological evidence — from lizard territorial signalling to human neural punishment circuits — confirms that commitment to symmetric effort is an ancient and robust cooperation strategy.</w:t>
      </w:r>
    </w:p>
    <w:p>
      <w:pPr>
        <w:spacing w:after="180"/>
        <w:jc w:val="both"/>
      </w:pPr>
      <w:r>
        <w:rPr>
          <w:rFonts w:ascii="Arial" w:cs="Arial" w:eastAsia="Arial" w:hAnsi="Arial"/>
          <w:sz w:val="22"/>
          <w:szCs w:val="22"/>
        </w:rPr>
        <w:t xml:space="preserve">Applied to global climate governance and UN Security Council voting, the mechanism delivers substantial welfare gains: approximately 33% above Nash in the climate setting, and a 25 percentage-point increase in UNSC resolution passage rates. These are not small improvements — they represent the difference between a world that solves its hardest collective-action problems and one that does not.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B3A6B" w:sz="1"/>
              <w:left w:val="single" w:color="1B3A6B" w:sz="1"/>
              <w:bottom w:val="single" w:color="1B3A6B" w:sz="1"/>
              <w:right w:val="single" w:color="1B3A6B" w:sz="1"/>
            </w:tcBorders>
            <w:shd w:fill="E8F0FB" w:val="clear"/>
            <w:tcMar>
              <w:top w:type="dxa" w:w="160"/>
              <w:left w:type="dxa" w:w="200"/>
              <w:bottom w:type="dxa" w:w="160"/>
              <w:right w:type="dxa" w:w="200"/>
            </w:tcMar>
          </w:tcPr>
          <w:p>
            <w:pPr>
              <w:spacing w:after="80"/>
            </w:pPr>
            <w:r>
              <w:rPr>
                <w:rFonts w:ascii="Arial" w:cs="Arial" w:eastAsia="Arial" w:hAnsi="Arial"/>
                <w:b/>
                <w:bCs/>
                <w:color w:val="1B3A6B"/>
                <w:sz w:val="22"/>
                <w:szCs w:val="22"/>
              </w:rPr>
              <w:t xml:space="preserve">🌍 The Bottom Line</w:t>
            </w:r>
          </w:p>
          <w:p>
            <w:pPr>
              <w:jc w:val="both"/>
            </w:pPr>
            <w:r>
              <w:rPr>
                <w:rFonts w:ascii="Arial" w:cs="Arial" w:eastAsia="Arial" w:hAnsi="Arial"/>
                <w:sz w:val="21"/>
                <w:szCs w:val="21"/>
              </w:rPr>
              <w:t xml:space="preserve">Smart institutional design — a multiplier and a penalty — can transform self-interest into cooperation. The tools already exist in embryonic form in the Paris Agreement and the UN Charter. This paper provides the mathematical proof that they can work, and the precise conditions under which they will.</w:t>
            </w:r>
          </w:p>
        </w:tc>
      </w:tr>
    </w:tbl>
    <w:p>
      <w:pPr>
        <w:spacing w:after="120"/>
      </w:pPr>
      <w:r>
        <w:rPr>
          <w:rFonts w:ascii="Arial" w:cs="Arial" w:eastAsia="Arial" w:hAnsi="Arial"/>
        </w:rPr>
        <w:t xml:space="preserve"/>
      </w:r>
    </w:p>
    <w:p>
      <w:pPr>
        <w:spacing w:after="120"/>
      </w:pPr>
      <w:r>
        <w:rPr>
          <w:rFonts w:ascii="Arial" w:cs="Arial" w:eastAsia="Arial" w:hAnsi="Arial"/>
        </w:rPr>
        <w:t xml:space="preserve"/>
      </w:r>
    </w:p>
    <w:p>
      <w:pPr>
        <w:pStyle w:val="Heading1"/>
        <w:spacing w:after="180" w:before="360"/>
      </w:pPr>
      <w:r>
        <w:rPr>
          <w:rFonts w:ascii="Arial" w:cs="Arial" w:eastAsia="Arial" w:hAnsi="Arial"/>
          <w:b/>
          <w:bCs/>
          <w:color w:val="1B3A6B"/>
          <w:sz w:val="28"/>
          <w:szCs w:val="28"/>
        </w:rPr>
        <w:t xml:space="preserve">9  Key References</w:t>
      </w:r>
    </w:p>
    <w:p>
      <w:pPr>
        <w:pStyle w:val="ListParagraph"/>
        <w:numPr>
          <w:ilvl w:val="0"/>
          <w:numId w:val="2"/>
        </w:numPr>
        <w:spacing w:after="120"/>
      </w:pPr>
      <w:r>
        <w:rPr>
          <w:rFonts w:ascii="Arial" w:cs="Arial" w:eastAsia="Arial" w:hAnsi="Arial"/>
          <w:sz w:val="22"/>
          <w:szCs w:val="22"/>
        </w:rPr>
        <w:t xml:space="preserve">Axelrod, R. (1984). The Evolution of Cooperation. Basic Books.</w:t>
      </w:r>
    </w:p>
    <w:p>
      <w:pPr>
        <w:pStyle w:val="ListParagraph"/>
        <w:numPr>
          <w:ilvl w:val="0"/>
          <w:numId w:val="2"/>
        </w:numPr>
        <w:spacing w:after="120"/>
      </w:pPr>
      <w:r>
        <w:rPr>
          <w:rFonts w:ascii="Arial" w:cs="Arial" w:eastAsia="Arial" w:hAnsi="Arial"/>
          <w:sz w:val="22"/>
          <w:szCs w:val="22"/>
        </w:rPr>
        <w:t xml:space="preserve">Barrett, S. (2003). Environment and Statecraft. Oxford University Press.</w:t>
      </w:r>
    </w:p>
    <w:p>
      <w:pPr>
        <w:pStyle w:val="ListParagraph"/>
        <w:numPr>
          <w:ilvl w:val="0"/>
          <w:numId w:val="2"/>
        </w:numPr>
        <w:spacing w:after="120"/>
      </w:pPr>
      <w:r>
        <w:rPr>
          <w:rFonts w:ascii="Arial" w:cs="Arial" w:eastAsia="Arial" w:hAnsi="Arial"/>
          <w:sz w:val="22"/>
          <w:szCs w:val="22"/>
        </w:rPr>
        <w:t xml:space="preserve">Fehr, E. &amp; Gächter, S. (2000). Cooperation and Punishment in Public Goods Experiments. American Economic Review, 90(4), 980–994.</w:t>
      </w:r>
    </w:p>
    <w:p>
      <w:pPr>
        <w:pStyle w:val="ListParagraph"/>
        <w:numPr>
          <w:ilvl w:val="0"/>
          <w:numId w:val="2"/>
        </w:numPr>
        <w:spacing w:after="120"/>
      </w:pPr>
      <w:r>
        <w:rPr>
          <w:rFonts w:ascii="Arial" w:cs="Arial" w:eastAsia="Arial" w:hAnsi="Arial"/>
          <w:sz w:val="22"/>
          <w:szCs w:val="22"/>
        </w:rPr>
        <w:t xml:space="preserve">Fudenberg, D. &amp; Levine, D.K. (1998). The Theory of Learning in Games. MIT Press.</w:t>
      </w:r>
    </w:p>
    <w:p>
      <w:pPr>
        <w:pStyle w:val="ListParagraph"/>
        <w:numPr>
          <w:ilvl w:val="0"/>
          <w:numId w:val="2"/>
        </w:numPr>
        <w:spacing w:after="120"/>
      </w:pPr>
      <w:r>
        <w:rPr>
          <w:rFonts w:ascii="Arial" w:cs="Arial" w:eastAsia="Arial" w:hAnsi="Arial"/>
          <w:sz w:val="22"/>
          <w:szCs w:val="22"/>
        </w:rPr>
        <w:t xml:space="preserve">Honkapohja, S. &amp; Mitra, K. (1993). Learning Stability in Economies with Heterogeneous Agents. Review of Economic Dynamics.</w:t>
      </w:r>
    </w:p>
    <w:p>
      <w:pPr>
        <w:pStyle w:val="ListParagraph"/>
        <w:numPr>
          <w:ilvl w:val="0"/>
          <w:numId w:val="2"/>
        </w:numPr>
        <w:spacing w:after="120"/>
      </w:pPr>
      <w:r>
        <w:rPr>
          <w:rFonts w:ascii="Arial" w:cs="Arial" w:eastAsia="Arial" w:hAnsi="Arial"/>
          <w:sz w:val="22"/>
          <w:szCs w:val="22"/>
        </w:rPr>
        <w:t xml:space="preserve">Kalai, E. &amp; Lehrer, E. (1993). Rational Learning Leads to Nash Equilibrium. Econometrica, 61(5), 1019–1045.</w:t>
      </w:r>
    </w:p>
    <w:p>
      <w:pPr>
        <w:pStyle w:val="ListParagraph"/>
        <w:numPr>
          <w:ilvl w:val="0"/>
          <w:numId w:val="2"/>
        </w:numPr>
        <w:spacing w:after="120"/>
      </w:pPr>
      <w:r>
        <w:rPr>
          <w:rFonts w:ascii="Arial" w:cs="Arial" w:eastAsia="Arial" w:hAnsi="Arial"/>
          <w:sz w:val="22"/>
          <w:szCs w:val="22"/>
        </w:rPr>
        <w:t xml:space="preserve">Nash, J.F. (1950, 1951). Equilibrium Points in n-Person Games; Non-Cooperative Games. PNAS / Annals of Mathematics.</w:t>
      </w:r>
    </w:p>
    <w:p>
      <w:pPr>
        <w:pStyle w:val="ListParagraph"/>
        <w:numPr>
          <w:ilvl w:val="0"/>
          <w:numId w:val="2"/>
        </w:numPr>
        <w:spacing w:after="120"/>
      </w:pPr>
      <w:r>
        <w:rPr>
          <w:rFonts w:ascii="Arial" w:cs="Arial" w:eastAsia="Arial" w:hAnsi="Arial"/>
          <w:sz w:val="22"/>
          <w:szCs w:val="22"/>
        </w:rPr>
        <w:t xml:space="preserve">Nordhaus, W.D. (2015). Climate Clubs. American Economic Review, 105(4), 1339–1370.</w:t>
      </w:r>
    </w:p>
    <w:p>
      <w:pPr>
        <w:pStyle w:val="ListParagraph"/>
        <w:numPr>
          <w:ilvl w:val="0"/>
          <w:numId w:val="2"/>
        </w:numPr>
        <w:spacing w:after="120"/>
      </w:pPr>
      <w:r>
        <w:rPr>
          <w:rFonts w:ascii="Arial" w:cs="Arial" w:eastAsia="Arial" w:hAnsi="Arial"/>
          <w:sz w:val="22"/>
          <w:szCs w:val="22"/>
        </w:rPr>
        <w:t xml:space="preserve">Roemer, J.E. (2010, 2019). Kantian Equilibrium; How We Cooperate. Scandinavian Journal of Economics / Yale University Press.</w:t>
      </w:r>
    </w:p>
    <w:p>
      <w:pPr>
        <w:pStyle w:val="ListParagraph"/>
        <w:numPr>
          <w:ilvl w:val="0"/>
          <w:numId w:val="2"/>
        </w:numPr>
        <w:spacing w:after="120"/>
      </w:pPr>
      <w:r>
        <w:rPr>
          <w:rFonts w:ascii="Arial" w:cs="Arial" w:eastAsia="Arial" w:hAnsi="Arial"/>
          <w:sz w:val="22"/>
          <w:szCs w:val="22"/>
        </w:rPr>
        <w:t xml:space="preserve">Weibull, J.W. (1995). Evolutionary Game Theory. MIT Press.</w:t>
      </w:r>
    </w:p>
    <w:p>
      <w:pPr>
        <w:spacing w:after="120"/>
      </w:pPr>
      <w:r>
        <w:rPr>
          <w:rFonts w:ascii="Arial" w:cs="Arial" w:eastAsia="Arial" w:hAnsi="Arial"/>
        </w:rPr>
        <w:t xml:space="preserve"/>
      </w:r>
    </w:p>
    <w:p>
      <w:pPr>
        <w:spacing w:after="180"/>
      </w:pPr>
      <w:r>
        <w:rPr>
          <w:rFonts w:ascii="Arial" w:cs="Arial" w:eastAsia="Arial" w:hAnsi="Arial"/>
          <w:color w:val="888888"/>
          <w:sz w:val="20"/>
          <w:szCs w:val="20"/>
        </w:rPr>
        <w:t xml:space="preserve">Full bibliography in the technical paper (kant_equilibrium.pdf).</w:t>
      </w:r>
    </w:p>
    <w:p>
      <w:pPr>
        <w:spacing w:after="120"/>
      </w:pPr>
      <w:r>
        <w:rPr>
          <w:rFonts w:ascii="Arial" w:cs="Arial" w:eastAsia="Arial" w:hAnsi="Arial"/>
        </w:rPr>
        <w:t xml:space="preserve"/>
      </w:r>
    </w:p>
    <w:p>
      <w:pPr>
        <w:pBdr>
          <w:top w:val="single" w:color="CCCCCC" w:sz="2" w:space="4"/>
        </w:pBdr>
        <w:spacing w:after="180"/>
        <w:jc w:val="center"/>
      </w:pPr>
      <w:r>
        <w:rPr>
          <w:rFonts w:ascii="Arial" w:cs="Arial" w:eastAsia="Arial" w:hAnsi="Arial"/>
          <w:color w:val="888888"/>
          <w:sz w:val="18"/>
          <w:szCs w:val="18"/>
        </w:rPr>
        <w:t xml:space="preserve">This working paper was produced at the Universidade de Évora, Departamento de Economia, CEFAGE-UE &amp; VALORIZA. Correspondence: mrsousa@uevora.pt | caleiro@uevora.pt</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888888"/>
        <w:sz w:val="18"/>
        <w:szCs w:val="18"/>
      </w:rPr>
      <w:t xml:space="preserve">Page </w:t>
    </w:r>
    <w:r>
      <w:rPr>
        <w:color w:val="1B3A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3A" w:sz="4" w:space="1"/>
      </w:pBdr>
    </w:pPr>
    <w:r>
      <w:rPr>
        <w:rFonts w:ascii="Arial" w:cs="Arial" w:eastAsia="Arial" w:hAnsi="Arial"/>
        <w:color w:val="888888"/>
        <w:sz w:val="18"/>
        <w:szCs w:val="18"/>
      </w:rPr>
      <w:t xml:space="preserve">Enforcing Kantian Equilibria  |  </w:t>
    </w:r>
    <w:r>
      <w:rPr>
        <w:rFonts w:ascii="Arial" w:cs="Arial" w:eastAsia="Arial" w:hAnsi="Arial"/>
        <w:color w:val="1B3A6B"/>
        <w:sz w:val="18"/>
        <w:szCs w:val="18"/>
      </w:rPr>
      <w:t xml:space="preserve">Rocha de Sousa &amp; Caleiro  |  Universidade de Évora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 w:type="paragraph" w:styleId="Heading3">
    <w:name w:val="Heading 3"/>
    <w:basedOn w:val="Normal"/>
    <w:next w:val="Normal"/>
    <w:qFormat/>
    <w:pPr>
      <w:spacing w:after="9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2026-05-01T21:29:17.509Z</dcterms:created>
  <dcterms:modified xsi:type="dcterms:W3CDTF">2026-05-01T21:29:17.526Z</dcterms:modified>
</cp:coreProperties>
</file>

<file path=docProps/custom.xml><?xml version="1.0" encoding="utf-8"?>
<Properties xmlns="http://schemas.openxmlformats.org/officeDocument/2006/custom-properties" xmlns:vt="http://schemas.openxmlformats.org/officeDocument/2006/docPropsVTypes"/>
</file>