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-recommendation"/>
    <w:p>
      <w:pPr>
        <w:pStyle w:val="Heading1"/>
      </w:pPr>
      <w:r>
        <w:t xml:space="preserve">00 — Executive Summary &amp; Recommendation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Richard Walker (Lucidate Ltd)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Horizon2 / UMD — fitness assessment and the salvage-vs-rewrite decision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2026-07-10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Decision document. Read this first; the twelve supporting documents provide the evidence.</w:t>
      </w:r>
      <w:r>
        <w:t xml:space="preserve"> </w:t>
      </w:r>
      <w:r>
        <w:t xml:space="preserve">Documents 10–12 add the research substance that makes the recommendation</w:t>
      </w:r>
      <w:r>
        <w:t xml:space="preserve"> </w:t>
      </w:r>
      <w:r>
        <w:t xml:space="preserve">buildable: the universal input-</w:t>
      </w:r>
      <w:r>
        <w:rPr>
          <w:i/>
          <w:iCs/>
        </w:rPr>
        <w:t xml:space="preserve">state</w:t>
      </w:r>
      <w:r>
        <w:t xml:space="preserve"> </w:t>
      </w:r>
      <w:r>
        <w:t xml:space="preserve">principle (§10, correcting a naïve</w:t>
      </w:r>
      <w:r>
        <w:t xml:space="preserve"> </w:t>
      </w:r>
      <w:r>
        <w:t xml:space="preserve">“inflation only”</w:t>
      </w:r>
      <w:r>
        <w:t xml:space="preserve"> </w:t>
      </w:r>
      <w:r>
        <w:t xml:space="preserve">reading of derivatives), the literature review of the accepted</w:t>
      </w:r>
      <w:r>
        <w:t xml:space="preserve"> </w:t>
      </w:r>
      <w:r>
        <w:t xml:space="preserve">models (§11), and the SoTA agentic / prompting / context-engineering review (§12).</w:t>
      </w:r>
    </w:p>
    <w:p>
      <w:r>
        <w:pict>
          <v:rect style="width:0;height:1.5pt" o:hralign="center" o:hrstd="t" o:hr="t"/>
        </w:pict>
      </w:r>
    </w:p>
    <w:bookmarkStart w:id="9" w:name="the-question"/>
    <w:p>
      <w:pPr>
        <w:pStyle w:val="Heading2"/>
      </w:pPr>
      <w:r>
        <w:t xml:space="preserve">The question</w:t>
      </w:r>
    </w:p>
    <w:p>
      <w:pPr>
        <w:pStyle w:val="BlockText"/>
      </w:pPr>
      <w:r>
        <w:rPr>
          <w:i/>
          <w:iCs/>
        </w:rPr>
        <w:t xml:space="preserve">Is this project salvageable, or are we better off starting a new project and using this one as a learning template of what went horribly wrong?</w:t>
      </w:r>
    </w:p>
    <w:p>
      <w:pPr>
        <w:pStyle w:val="FirstParagraph"/>
      </w:pPr>
      <w:r>
        <w:t xml:space="preserve">It is the right question, and it has a two-part answer, because the project is</w:t>
      </w:r>
      <w:r>
        <w:t xml:space="preserve"> </w:t>
      </w:r>
      <w:r>
        <w:t xml:space="preserve">two projects wearing one name.</w:t>
      </w:r>
    </w:p>
    <w:bookmarkEnd w:id="9"/>
    <w:bookmarkStart w:id="10" w:name="the-recommendation-in-one-line"/>
    <w:p>
      <w:pPr>
        <w:pStyle w:val="Heading2"/>
      </w:pPr>
      <w:r>
        <w:t xml:space="preserve">The recommendation, in one line</w:t>
      </w:r>
    </w:p>
    <w:p>
      <w:pPr>
        <w:pStyle w:val="BlockText"/>
      </w:pPr>
      <w:r>
        <w:rPr>
          <w:b/>
          <w:bCs/>
        </w:rPr>
        <w:t xml:space="preserve">Salvage the data platform (UMD) in full — it is the asset. Do not patch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(Horizon2); start a new application project on top of the salvaged</w:t>
      </w:r>
      <w:r>
        <w:rPr>
          <w:b/>
          <w:bCs/>
        </w:rPr>
        <w:t xml:space="preserve"> </w:t>
      </w:r>
      <w:r>
        <w:rPr>
          <w:b/>
          <w:bCs/>
        </w:rPr>
        <w:t xml:space="preserve">data layer, and keep Horizon2 as the cautionary reference. Verdict: SALVAGE the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foundation, RESTART the house.</w:t>
      </w:r>
    </w:p>
    <w:bookmarkEnd w:id="10"/>
    <w:bookmarkStart w:id="11" w:name="why-the-answer-is-split-not-binary"/>
    <w:p>
      <w:pPr>
        <w:pStyle w:val="Heading2"/>
      </w:pPr>
      <w:r>
        <w:t xml:space="preserve">Why the answer is split, not binary</w:t>
      </w:r>
    </w:p>
    <w:p>
      <w:pPr>
        <w:pStyle w:val="FirstParagraph"/>
      </w:pPr>
      <w:r>
        <w:t xml:space="preserve">The two halves have opposite verdicts, and conflating them is what has kept the</w:t>
      </w:r>
      <w:r>
        <w:t xml:space="preserve"> </w:t>
      </w:r>
      <w:r>
        <w:t xml:space="preserve">project stuck.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platform — UMD</w:t>
            </w:r>
          </w:p>
        </w:tc>
        <w:tc>
          <w:tcPr/>
          <w:p>
            <w:pPr>
              <w:pStyle w:val="Compact"/>
            </w:pPr>
            <w:r>
              <w:t xml:space="preserve">38 data providers, 25 quantitative models, 3 mature databases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55,700 LOC</w:t>
            </w:r>
            <w:r>
              <w:t xml:space="preserve">, 4,093 series, 26M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SALVAGE (extend)</w:t>
            </w:r>
          </w:p>
        </w:tc>
        <w:tc>
          <w:tcPr/>
          <w:p>
            <w:pPr>
              <w:pStyle w:val="Compact"/>
            </w:pPr>
            <w:r>
              <w:t xml:space="preserve">Years of genuine, largely-sound engineering. The models and data the vision needs mostly already exist. The gaps are</w:t>
            </w:r>
            <w:r>
              <w:t xml:space="preserve"> </w:t>
            </w:r>
            <w:r>
              <w:rPr>
                <w:i/>
                <w:iCs/>
              </w:rPr>
              <w:t xml:space="preserve">additive</w:t>
            </w:r>
            <w:r>
              <w:t xml:space="preserve"> </w:t>
            </w:r>
            <w:r>
              <w:t xml:space="preserve">(taxonomy, a model catalog), not architectural rot.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— Horizon2</w:t>
            </w:r>
          </w:p>
        </w:tc>
        <w:tc>
          <w:tcPr/>
          <w:p>
            <w:pPr>
              <w:pStyle w:val="Compact"/>
            </w:pPr>
            <w:r>
              <w:t xml:space="preserve">LangGraph article pipeline: chart engine, infographic, writer, gates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32,300 LOC</w:t>
            </w:r>
            <w:r>
              <w:t xml:space="preserve"> </w:t>
            </w:r>
            <w:r>
              <w:t xml:space="preserve">(chart engine alone 9,500)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RESTART (new project)</w:t>
            </w:r>
          </w:p>
        </w:tc>
        <w:tc>
          <w:tcPr/>
          <w:p>
            <w:pPr>
              <w:pStyle w:val="Compact"/>
            </w:pPr>
            <w:r>
              <w:t xml:space="preserve">Its core architecture — plot raw series, pass gates — is the wrong shape for the vision, its two flagship surfaces (charts, infographic) use the wrong</w:t>
            </w:r>
            <w:r>
              <w:t xml:space="preserve"> </w:t>
            </w:r>
            <w:r>
              <w:rPr>
                <w:i/>
                <w:iCs/>
              </w:rPr>
              <w:t xml:space="preserve">mechanism</w:t>
            </w:r>
            <w:r>
              <w:t xml:space="preserve">, and its embedded working-culture actively fights the target design.</w:t>
            </w:r>
          </w:p>
        </w:tc>
      </w:tr>
    </w:tbl>
    <w:p>
      <w:pPr>
        <w:pStyle w:val="BodyText"/>
      </w:pPr>
      <w:r>
        <w:t xml:space="preserve">The owner’s own instinct —</w:t>
      </w:r>
      <w:r>
        <w:t xml:space="preserve"> </w:t>
      </w:r>
      <w:r>
        <w:rPr>
          <w:i/>
          <w:iCs/>
        </w:rPr>
        <w:t xml:space="preserve">“validate the data layers before any app development”</w:t>
      </w:r>
      <w:r>
        <w:t xml:space="preserve"> </w:t>
      </w:r>
      <w:r>
        <w:t xml:space="preserve">—</w:t>
      </w:r>
      <w:r>
        <w:t xml:space="preserve"> </w:t>
      </w:r>
      <w:r>
        <w:t xml:space="preserve">is exactly right, and this assessment confirms it: the foundation is worth</w:t>
      </w:r>
      <w:r>
        <w:t xml:space="preserve"> </w:t>
      </w:r>
      <w:r>
        <w:t xml:space="preserve">keeping; the structure built on it is not.</w:t>
      </w:r>
    </w:p>
    <w:bookmarkEnd w:id="11"/>
    <w:bookmarkStart w:id="12" w:name="X1d667614aaaec6491bfbaa81f9b0616cd779fa8"/>
    <w:p>
      <w:pPr>
        <w:pStyle w:val="Heading2"/>
      </w:pPr>
      <w:r>
        <w:t xml:space="preserve">The three findings that drive the verdict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There is no model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“insights.”</w:t>
      </w:r>
      <w:r>
        <w:t xml:space="preserve"> </w:t>
      </w:r>
      <w:r>
        <w:t xml:space="preserve">The application plots raw series and</w:t>
      </w:r>
      <w:r>
        <w:t xml:space="preserve"> </w:t>
      </w:r>
      <w:r>
        <w:t xml:space="preserve">dresses them as charts. The vision — every decision-maker runs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on</w:t>
      </w:r>
      <w:r>
        <w:t xml:space="preserve"> </w:t>
      </w:r>
      <w:r>
        <w:t xml:space="preserve">data to reach a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— has no representation anywhere in the running</w:t>
      </w:r>
      <w:r>
        <w:t xml:space="preserve"> </w:t>
      </w:r>
      <w:r>
        <w:t xml:space="preserve">system. The graph database, audited live, 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model /</w:t>
      </w:r>
      <w:r>
        <w:t xml:space="preserve"> </w:t>
      </w:r>
      <w:r>
        <w:t xml:space="preserve">decision-maker / specification nodes (§03). You cannot incrementally refactor</w:t>
      </w:r>
      <w:r>
        <w:t xml:space="preserve"> </w:t>
      </w:r>
      <w:r>
        <w:t xml:space="preserve">a missing spine into existence inside a codebase built around its absence.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surfaces use the wrong mechanism, not just the wrong parameters.</w:t>
      </w:r>
      <w:r>
        <w:t xml:space="preserve"> </w:t>
      </w:r>
      <w:r>
        <w:t xml:space="preserve">Charts</w:t>
      </w:r>
      <w:r>
        <w:t xml:space="preserve"> </w:t>
      </w:r>
      <w:r>
        <w:t xml:space="preserve">are rendered from a 5-grammar templating engine that can only ever produce</w:t>
      </w:r>
      <w:r>
        <w:t xml:space="preserve"> </w:t>
      </w:r>
      <w:r>
        <w:t xml:space="preserve">“two lines and a wedge / a distribution / a bar”</w:t>
      </w:r>
      <w:r>
        <w:t xml:space="preserve"> </w:t>
      </w:r>
      <w:r>
        <w:t xml:space="preserve">(§04). The infographic is</w:t>
      </w:r>
      <w:r>
        <w:t xml:space="preserve"> </w:t>
      </w:r>
      <w:r>
        <w:t xml:space="preserve">rendered by a</w:t>
      </w:r>
      <w:r>
        <w:t xml:space="preserve"> </w:t>
      </w:r>
      <w:r>
        <w:rPr>
          <w:b/>
          <w:bCs/>
        </w:rPr>
        <w:t xml:space="preserve">diffusion image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gpt-image-2</w:t>
      </w:r>
      <w:r>
        <w:t xml:space="preserve">) and then OCR-checked —</w:t>
      </w:r>
      <w:r>
        <w:t xml:space="preserve"> </w:t>
      </w:r>
      <w:r>
        <w:t xml:space="preserve">a mechanism that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render exact numbers by construction, when the</w:t>
      </w:r>
      <w:r>
        <w:t xml:space="preserve"> </w:t>
      </w:r>
      <w:r>
        <w:t xml:space="preserve">correct, published technique (Infogen / LIDA) is verified-numbers →</w:t>
      </w:r>
      <w:r>
        <w:t xml:space="preserve"> </w:t>
      </w:r>
      <w:r>
        <w:t xml:space="preserve">deterministic code (§04, §06). These are replace-not-repair.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failure is cultural and it is encoded in the app.</w:t>
      </w:r>
      <w:r>
        <w:t xml:space="preserve"> </w:t>
      </w:r>
      <w:r>
        <w:t xml:space="preserve">The project</w:t>
      </w:r>
      <w:r>
        <w:t xml:space="preserve"> </w:t>
      </w:r>
      <w:r>
        <w:t xml:space="preserve">repeatedly reported success on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(</w:t>
      </w:r>
      <w:r>
        <w:t xml:space="preserve">“all gates passed, exported clean”</w:t>
      </w:r>
      <w:r>
        <w:t xml:space="preserve">)</w:t>
      </w:r>
      <w:r>
        <w:t xml:space="preserve"> </w:t>
      </w:r>
      <w:r>
        <w:t xml:space="preserve">while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was broken — including shipping charts with nonsense</w:t>
      </w:r>
      <w:r>
        <w:t xml:space="preserve"> </w:t>
      </w:r>
      <w:r>
        <w:t xml:space="preserve">values and a validation panel that literally printed</w:t>
      </w:r>
      <w:r>
        <w:t xml:space="preserve"> </w:t>
      </w:r>
      <w:r>
        <w:rPr>
          <w:i/>
          <w:iCs/>
        </w:rPr>
        <w:t xml:space="preserve">“All checks passed”</w:t>
      </w:r>
      <w:r>
        <w:t xml:space="preserve"> </w:t>
      </w:r>
      <w:r>
        <w:t xml:space="preserve">over</w:t>
      </w:r>
      <w:r>
        <w:t xml:space="preserve"> </w:t>
      </w:r>
      <w:r>
        <w:t xml:space="preserve">failing content (§04). That culture is baked into Horizon2’s gate-centric</w:t>
      </w:r>
      <w:r>
        <w:t xml:space="preserve"> </w:t>
      </w:r>
      <w:r>
        <w:t xml:space="preserve">design. A new project is the cleanest way to leave it behind; patching in place</w:t>
      </w:r>
      <w:r>
        <w:t xml:space="preserve"> </w:t>
      </w:r>
      <w:r>
        <w:t xml:space="preserve">carries it forward.</w:t>
      </w:r>
    </w:p>
    <w:p>
      <w:pPr>
        <w:pStyle w:val="FirstParagraph"/>
      </w:pPr>
      <w:r>
        <w:t xml:space="preserve">Crucially,</w:t>
      </w:r>
      <w:r>
        <w:t xml:space="preserve"> </w:t>
      </w:r>
      <w:r>
        <w:rPr>
          <w:b/>
          <w:bCs/>
        </w:rPr>
        <w:t xml:space="preserve">none of these three findings implicates UMD.</w:t>
      </w:r>
      <w:r>
        <w:t xml:space="preserve"> </w:t>
      </w:r>
      <w:r>
        <w:t xml:space="preserve">They are all</w:t>
      </w:r>
      <w:r>
        <w:t xml:space="preserve"> </w:t>
      </w:r>
      <w:r>
        <w:t xml:space="preserve">application-layer. The data platform is the victim of the app’s shortcomings, not</w:t>
      </w:r>
      <w:r>
        <w:t xml:space="preserve"> </w:t>
      </w:r>
      <w:r>
        <w:t xml:space="preserve">their source.</w:t>
      </w:r>
    </w:p>
    <w:bookmarkEnd w:id="12"/>
    <w:bookmarkStart w:id="13" w:name="X27a58b92c9b518b252e1fca8ef6741c504e21af"/>
    <w:p>
      <w:pPr>
        <w:pStyle w:val="Heading2"/>
      </w:pPr>
      <w:r>
        <w:t xml:space="preserve">What</w:t>
      </w:r>
      <w:r>
        <w:t xml:space="preserve"> </w:t>
      </w:r>
      <w:r>
        <w:t xml:space="preserve">“restart the application”</w:t>
      </w:r>
      <w:r>
        <w:t xml:space="preserve"> </w:t>
      </w:r>
      <w:r>
        <w:t xml:space="preserve">does and does not mean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mean greenfield-everything. UMD — the providers, the 25</w:t>
      </w:r>
      <w:r>
        <w:t xml:space="preserve"> </w:t>
      </w:r>
      <w:r>
        <w:t xml:space="preserve">quantitative models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 the databases — is kept and extended.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mean a new application repository whose architecture is the</w:t>
      </w:r>
      <w:r>
        <w:t xml:space="preserve"> </w:t>
      </w:r>
      <w:r>
        <w:t xml:space="preserve">vision from day one: a</w:t>
      </w:r>
      <w:r>
        <w:t xml:space="preserve"> </w:t>
      </w:r>
      <w:r>
        <w:rPr>
          <w:b/>
          <w:bCs/>
        </w:rPr>
        <w:t xml:space="preserve">model catalog → model selection → non-LLM execution →</w:t>
      </w:r>
      <w:r>
        <w:rPr>
          <w:b/>
          <w:bCs/>
        </w:rPr>
        <w:t xml:space="preserve"> </w:t>
      </w:r>
      <w:r>
        <w:rPr>
          <w:b/>
          <w:bCs/>
        </w:rPr>
        <w:t xml:space="preserve">model-grounded narration → deterministic rendering</w:t>
      </w:r>
      <w:r>
        <w:t xml:space="preserve"> </w:t>
      </w:r>
      <w:r>
        <w:t xml:space="preserve">pipeline (the</w:t>
      </w:r>
      <w:r>
        <w:t xml:space="preserve"> </w:t>
      </w:r>
      <w:r>
        <w:t xml:space="preserve">AI-Economist-Agent pattern, §01, §06), consuming the salvaged data layer.</w:t>
      </w:r>
    </w:p>
    <w:p>
      <w:pPr>
        <w:pStyle w:val="Compact"/>
        <w:numPr>
          <w:ilvl w:val="0"/>
          <w:numId w:val="1002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mean cherry-picking Horizon2’s few genuinely good,</w:t>
      </w:r>
      <w:r>
        <w:t xml:space="preserve"> </w:t>
      </w:r>
      <w:r>
        <w:t xml:space="preserve">architecture-agnostic parts (DOCX/Substack export, the fact-check</w:t>
      </w:r>
      <w:r>
        <w:t xml:space="preserve"> </w:t>
      </w:r>
      <w:r>
        <w:t xml:space="preserve">“numbers must</w:t>
      </w:r>
      <w:r>
        <w:t xml:space="preserve"> </w:t>
      </w:r>
      <w:r>
        <w:t xml:space="preserve">trace”</w:t>
      </w:r>
      <w:r>
        <w:t xml:space="preserve"> </w:t>
      </w:r>
      <w:r>
        <w:t xml:space="preserve">discipline, the LangGraph orchestration know-how) as</w:t>
      </w:r>
      <w:r>
        <w:t xml:space="preserve"> </w:t>
      </w:r>
      <w:r>
        <w:rPr>
          <w:i/>
          <w:iCs/>
        </w:rPr>
        <w:t xml:space="preserve">lift-outs</w:t>
      </w:r>
      <w:r>
        <w:t xml:space="preserve">, not a</w:t>
      </w:r>
      <w:r>
        <w:t xml:space="preserve"> </w:t>
      </w:r>
      <w:r>
        <w:t xml:space="preserve">wholesale port (§08).</w:t>
      </w:r>
    </w:p>
    <w:bookmarkEnd w:id="13"/>
    <w:bookmarkStart w:id="14" w:name="X070530181ff7749a7e09882bb0c0a0139f81928"/>
    <w:p>
      <w:pPr>
        <w:pStyle w:val="Heading2"/>
      </w:pPr>
      <w:r>
        <w:t xml:space="preserve">The gate before any of that: prove the data layers are generic</w:t>
      </w:r>
    </w:p>
    <w:p>
      <w:pPr>
        <w:pStyle w:val="FirstParagraph"/>
      </w:pPr>
      <w:r>
        <w:t xml:space="preserve">Per the owner’s directive,</w:t>
      </w:r>
      <w:r>
        <w:t xml:space="preserve"> </w:t>
      </w:r>
      <w:r>
        <w:rPr>
          <w:b/>
          <w:bCs/>
        </w:rPr>
        <w:t xml:space="preserve">no application work resumes</w:t>
      </w:r>
      <w:r>
        <w:t xml:space="preserve"> </w:t>
      </w:r>
      <w:r>
        <w:t xml:space="preserve">until the three data</w:t>
      </w:r>
      <w:r>
        <w:t xml:space="preserve"> </w:t>
      </w:r>
      <w:r>
        <w:t xml:space="preserve">layers are demonstrably fit for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app across the full Lucidate remit —</w:t>
      </w:r>
      <w:r>
        <w:t xml:space="preserve"> </w:t>
      </w:r>
      <w:r>
        <w:t xml:space="preserve">not FOMC. The immediate work (§09) is therefore data-layer, not app:</w:t>
      </w:r>
    </w:p>
    <w:p>
      <w:pPr>
        <w:pStyle w:val="Compact"/>
        <w:numPr>
          <w:ilvl w:val="0"/>
          <w:numId w:val="1003"/>
        </w:numPr>
      </w:pPr>
      <w:r>
        <w:t xml:space="preserve">Author the</w:t>
      </w:r>
      <w:r>
        <w:t xml:space="preserve"> </w:t>
      </w:r>
      <w:r>
        <w:rPr>
          <w:b/>
          <w:bCs/>
        </w:rPr>
        <w:t xml:space="preserve">decision-maker × model matrix</w:t>
      </w:r>
      <w:r>
        <w:t xml:space="preserve"> </w:t>
      </w:r>
      <w:r>
        <w:t xml:space="preserve">(11 personas × models × required</w:t>
      </w:r>
      <w:r>
        <w:t xml:space="preserve"> </w:t>
      </w:r>
      <w:r>
        <w:t xml:space="preserve">data), the generic yardstick (§05).</w:t>
      </w:r>
    </w:p>
    <w:p>
      <w:pPr>
        <w:pStyle w:val="Compact"/>
        <w:numPr>
          <w:ilvl w:val="0"/>
          <w:numId w:val="1003"/>
        </w:numPr>
      </w:pPr>
      <w:r>
        <w:t xml:space="preserve">Close the three concrete data-layer gaps (§07): normalize the time-series</w:t>
      </w:r>
      <w:r>
        <w:t xml:space="preserve"> </w:t>
      </w:r>
      <w:r>
        <w:rPr>
          <w:b/>
          <w:bCs/>
        </w:rPr>
        <w:t xml:space="preserve">taxonomy</w:t>
      </w:r>
      <w:r>
        <w:t xml:space="preserve">; add a relational</w:t>
      </w:r>
      <w:r>
        <w:t xml:space="preserve"> </w:t>
      </w:r>
      <w:r>
        <w:rPr>
          <w:b/>
          <w:bCs/>
        </w:rPr>
        <w:t xml:space="preserve">model-config / run</w:t>
      </w:r>
      <w:r>
        <w:t xml:space="preserve"> </w:t>
      </w:r>
      <w:r>
        <w:t xml:space="preserve">store; seed the graph</w:t>
      </w:r>
      <w:r>
        <w:t xml:space="preserve"> </w:t>
      </w:r>
      <w:r>
        <w:rPr>
          <w:b/>
          <w:bCs/>
        </w:rPr>
        <w:t xml:space="preserve">model spine</w:t>
      </w:r>
      <w:r>
        <w:t xml:space="preserve"> </w:t>
      </w:r>
      <w:r>
        <w:t xml:space="preserve">(the catalog that is entirely absent today).</w:t>
      </w:r>
    </w:p>
    <w:p>
      <w:pPr>
        <w:pStyle w:val="Compact"/>
        <w:numPr>
          <w:ilvl w:val="0"/>
          <w:numId w:val="1003"/>
        </w:numPr>
      </w:pPr>
      <w:r>
        <w:t xml:space="preserve">Pass the</w:t>
      </w:r>
      <w:r>
        <w:t xml:space="preserve"> </w:t>
      </w:r>
      <w:r>
        <w:rPr>
          <w:b/>
          <w:bCs/>
        </w:rPr>
        <w:t xml:space="preserve">conviction test</w:t>
      </w:r>
      <w:r>
        <w:t xml:space="preserve">: every decision-maker in the matrix traces cleanly</w:t>
      </w:r>
      <w:r>
        <w:t xml:space="preserve"> </w:t>
      </w:r>
      <w:r>
        <w:rPr>
          <w:rStyle w:val="VerbatimChar"/>
        </w:rPr>
        <w:t xml:space="preserve">decision → model → inputs (present + classified) → execution → outputs → relationships</w:t>
      </w:r>
      <w:r>
        <w:t xml:space="preserve"> </w:t>
      </w:r>
      <w:r>
        <w:t xml:space="preserve">through the three layers. Only then does app work resume.</w:t>
      </w:r>
    </w:p>
    <w:bookmarkEnd w:id="14"/>
    <w:bookmarkStart w:id="18" w:name="decision-at-a-glance"/>
    <w:p>
      <w:pPr>
        <w:pStyle w:val="Heading2"/>
      </w:pPr>
      <w:r>
        <w:t xml:space="preserve">Decision at a glance</w:t>
      </w:r>
    </w:p>
    <w:p>
      <w:pPr>
        <w:pStyle w:val="CaptionedFigure"/>
      </w:pPr>
      <w:r>
        <w:drawing>
          <wp:inline>
            <wp:extent cx="5334000" cy="8290192"/>
            <wp:effectExtent b="0" l="0" r="0" t="0"/>
            <wp:docPr descr="diagram" title="" id="16" name="Picture"/>
            <a:graphic>
              <a:graphicData uri="http://schemas.openxmlformats.org/drawingml/2006/picture">
                <pic:pic>
                  <pic:nvPicPr>
                    <pic:cNvPr descr="./00-executive-summary-and-recommendation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8"/>
    <w:bookmarkStart w:id="19" w:name="confidence-and-honesty-note"/>
    <w:p>
      <w:pPr>
        <w:pStyle w:val="Heading2"/>
      </w:pPr>
      <w:r>
        <w:t xml:space="preserve">Confidence and honesty note</w:t>
      </w:r>
    </w:p>
    <w:p>
      <w:pPr>
        <w:pStyle w:val="FirstParagraph"/>
      </w:pPr>
      <w:r>
        <w:t xml:space="preserve">This recommendation is deliberately not the flattering one (</w:t>
      </w:r>
      <w:r>
        <w:t xml:space="preserve">“it’s salvageable,</w:t>
      </w:r>
      <w:r>
        <w:t xml:space="preserve"> </w:t>
      </w:r>
      <w:r>
        <w:t xml:space="preserve">keep going”</w:t>
      </w:r>
      <w:r>
        <w:t xml:space="preserve">). The evidence — a live audit of all three databases, a component</w:t>
      </w:r>
      <w:r>
        <w:t xml:space="preserve"> </w:t>
      </w:r>
      <w:r>
        <w:t xml:space="preserve">inventory of 88,000 lines of code, and a documented pattern of process-over-product</w:t>
      </w:r>
      <w:r>
        <w:t xml:space="preserve"> </w:t>
      </w:r>
      <w:r>
        <w:t xml:space="preserve">failure — points to keeping the expensive, sound part (the data) and restarting</w:t>
      </w:r>
      <w:r>
        <w:t xml:space="preserve"> </w:t>
      </w:r>
      <w:r>
        <w:t xml:space="preserve">the cheap-by-comparison, mis-architected part (the app). The supporting documents</w:t>
      </w:r>
      <w:r>
        <w:t xml:space="preserve"> </w:t>
      </w:r>
      <w:r>
        <w:t xml:space="preserve">show the working. If a single fact in §03, §04, §07, or §08 is wrong, the verdict</w:t>
      </w:r>
      <w:r>
        <w:t xml:space="preserve"> </w:t>
      </w:r>
      <w:r>
        <w:t xml:space="preserve">should be re-examined; nothing here is asserted without a citation to a live</w:t>
      </w:r>
      <w:r>
        <w:t xml:space="preserve"> </w:t>
      </w:r>
      <w:r>
        <w:t xml:space="preserve">finding.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2026-07-10T10:58:43Z</dcterms:created>
  <dcterms:modified xsi:type="dcterms:W3CDTF">2026-07-10T10:58:43Z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