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the-vision-model-data-insight-decision"/>
    <w:p>
      <w:pPr>
        <w:pStyle w:val="Heading1"/>
      </w:pPr>
      <w:r>
        <w:t xml:space="preserve">01 — The Vision: model → data → insight → decision</w:t>
      </w:r>
    </w:p>
    <w:bookmarkStart w:id="9" w:name="the-core-idea"/>
    <w:p>
      <w:pPr>
        <w:pStyle w:val="Heading2"/>
      </w:pPr>
      <w:r>
        <w:t xml:space="preserve">The core idea</w:t>
      </w:r>
    </w:p>
    <w:p>
      <w:pPr>
        <w:pStyle w:val="FirstParagraph"/>
      </w:pPr>
      <w:r>
        <w:t xml:space="preserve">Every serious market participant reaches a decision the same way: they run a</w:t>
      </w:r>
      <w:r>
        <w:t xml:space="preserve"> </w:t>
      </w:r>
      <w:r>
        <w:rPr>
          <w:b/>
          <w:bCs/>
        </w:rPr>
        <w:t xml:space="preserve">model</w:t>
      </w:r>
      <w:r>
        <w:t xml:space="preserve"> </w:t>
      </w:r>
      <w:r>
        <w:t xml:space="preserve">on</w:t>
      </w:r>
      <w:r>
        <w:t xml:space="preserve"> </w:t>
      </w:r>
      <w:r>
        <w:rPr>
          <w:b/>
          <w:bCs/>
        </w:rPr>
        <w:t xml:space="preserve">data</w:t>
      </w:r>
      <w:r>
        <w:t xml:space="preserve"> </w:t>
      </w:r>
      <w:r>
        <w:t xml:space="preserve">to produce an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that informs a</w:t>
      </w:r>
      <w:r>
        <w:t xml:space="preserve"> </w:t>
      </w:r>
      <w:r>
        <w:rPr>
          <w:b/>
          <w:bCs/>
        </w:rPr>
        <w:t xml:space="preserve">decision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An</w:t>
      </w:r>
      <w:r>
        <w:t xml:space="preserve"> </w:t>
      </w:r>
      <w:r>
        <w:rPr>
          <w:b/>
          <w:bCs/>
        </w:rPr>
        <w:t xml:space="preserve">FOMC member</w:t>
      </w:r>
      <w:r>
        <w:t xml:space="preserve"> </w:t>
      </w:r>
      <w:r>
        <w:t xml:space="preserve">carries a reaction function — a mental or formal model that</w:t>
      </w:r>
      <w:r>
        <w:t xml:space="preserve"> </w:t>
      </w:r>
      <w:r>
        <w:t xml:space="preserve">ingests the labour market, manufacturing, trade, the currency, housing,</w:t>
      </w:r>
      <w:r>
        <w:t xml:space="preserve"> </w:t>
      </w:r>
      <w:r>
        <w:t xml:space="preserve">inflation, and which parts of the economy are overheating or undershooting —</w:t>
      </w:r>
      <w:r>
        <w:t xml:space="preserve"> </w:t>
      </w:r>
      <w:r>
        <w:t xml:space="preserve">and outputs a view on the appropriate policy rate. Critically,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t xml:space="preserve">of those</w:t>
      </w:r>
      <w:r>
        <w:t xml:space="preserve"> </w:t>
      </w:r>
      <w:r>
        <w:t xml:space="preserve">inputs is read as a</w:t>
      </w:r>
      <w:r>
        <w:t xml:space="preserve"> </w:t>
      </w:r>
      <w:r>
        <w:rPr>
          <w:b/>
          <w:bCs/>
        </w:rPr>
        <w:t xml:space="preserve">state, not a level</w:t>
      </w:r>
      <w:r>
        <w:t xml:space="preserve">: its value, its direction and speed</w:t>
      </w:r>
      <w:r>
        <w:t xml:space="preserve"> </w:t>
      </w:r>
      <w:r>
        <w:t xml:space="preserve">(first derivative), its acceleration (second derivative), and its context. This</w:t>
      </w:r>
      <w:r>
        <w:t xml:space="preserve"> </w:t>
      </w:r>
      <w:r>
        <w:t xml:space="preserve">is universal, not an inflation quirk — see §10.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global-macro rates trader</w:t>
      </w:r>
      <w:r>
        <w:t xml:space="preserve"> </w:t>
      </w:r>
      <w:r>
        <w:t xml:space="preserve">runs a different but overlapping model — curve</w:t>
      </w:r>
      <w:r>
        <w:t xml:space="preserve"> </w:t>
      </w:r>
      <w:r>
        <w:t xml:space="preserve">fair value, carry and roll-down, term premium, the OIS-implied path — to</w:t>
      </w:r>
      <w:r>
        <w:t xml:space="preserve"> </w:t>
      </w:r>
      <w:r>
        <w:t xml:space="preserve">position a swap book</w:t>
      </w:r>
      <w:r>
        <w:t xml:space="preserve"> </w:t>
      </w:r>
      <w:r>
        <w:rPr>
          <w:i/>
          <w:iCs/>
        </w:rPr>
        <w:t xml:space="preserve">ahead</w:t>
      </w:r>
      <w:r>
        <w:t xml:space="preserve"> </w:t>
      </w:r>
      <w:r>
        <w:t xml:space="preserve">of that decision.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corporate treasurer</w:t>
      </w:r>
      <w:r>
        <w:t xml:space="preserve"> </w:t>
      </w:r>
      <w:r>
        <w:t xml:space="preserve">runs another — cost-of-carry, hedging ratios, funding</w:t>
      </w:r>
      <w:r>
        <w:t xml:space="preserve"> </w:t>
      </w:r>
      <w:r>
        <w:t xml:space="preserve">versus inflation — to decide how to hedge.</w:t>
      </w:r>
    </w:p>
    <w:p>
      <w:pPr>
        <w:pStyle w:val="FirstParagraph"/>
      </w:pPr>
      <w:r>
        <w:t xml:space="preserve">The list is long, but the pattern is identical:</w:t>
      </w:r>
      <w:r>
        <w:t xml:space="preserve"> </w:t>
      </w:r>
      <w:r>
        <w:rPr>
          <w:b/>
          <w:bCs/>
        </w:rPr>
        <w:t xml:space="preserve">decision-maker → model →</w:t>
      </w:r>
      <w:r>
        <w:rPr>
          <w:b/>
          <w:bCs/>
        </w:rPr>
        <w:t xml:space="preserve"> </w:t>
      </w:r>
      <w:r>
        <w:rPr>
          <w:b/>
          <w:bCs/>
        </w:rPr>
        <w:t xml:space="preserve">data → insight → decision.</w:t>
      </w:r>
      <w:r>
        <w:t xml:space="preserve"> </w:t>
      </w:r>
      <w:r>
        <w:t xml:space="preserve">The number at the centre of an article — an FOMC</w:t>
      </w:r>
      <w:r>
        <w:t xml:space="preserve"> </w:t>
      </w:r>
      <w:r>
        <w:t xml:space="preserve">call, a positioning view — is never</w:t>
      </w:r>
      <w:r>
        <w:t xml:space="preserve"> </w:t>
      </w:r>
      <w:r>
        <w:t xml:space="preserve">“a made-up number.”</w:t>
      </w:r>
      <w:r>
        <w:t xml:space="preserve"> </w:t>
      </w:r>
      <w:r>
        <w:t xml:space="preserve">It is the output of a</w:t>
      </w:r>
      <w:r>
        <w:t xml:space="preserve"> </w:t>
      </w:r>
      <w:r>
        <w:t xml:space="preserve">model, held by a person, fed by many variables.</w:t>
      </w:r>
    </w:p>
    <w:bookmarkEnd w:id="9"/>
    <w:bookmarkStart w:id="13" w:name="what-this-makes-the-product"/>
    <w:p>
      <w:pPr>
        <w:pStyle w:val="Heading2"/>
      </w:pPr>
      <w:r>
        <w:t xml:space="preserve">What this makes the product</w:t>
      </w:r>
    </w:p>
    <w:p>
      <w:pPr>
        <w:pStyle w:val="FirstParagraph"/>
      </w:pPr>
      <w:r>
        <w:t xml:space="preserve">Horizon’s differentiator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charts. It is</w:t>
      </w:r>
      <w:r>
        <w:t xml:space="preserve"> </w:t>
      </w:r>
      <w:r>
        <w:rPr>
          <w:b/>
          <w:bCs/>
        </w:rPr>
        <w:t xml:space="preserve">insight</w:t>
      </w:r>
      <w:r>
        <w:t xml:space="preserve"> </w:t>
      </w:r>
      <w:r>
        <w:t xml:space="preserve">— and insight is the</w:t>
      </w:r>
      <w:r>
        <w:t xml:space="preserve"> </w:t>
      </w:r>
      <w:r>
        <w:rPr>
          <w:b/>
          <w:bCs/>
        </w:rPr>
        <w:t xml:space="preserve">output of running the relevant decision-maker’s model against real,</w:t>
      </w:r>
      <w:r>
        <w:rPr>
          <w:b/>
          <w:bCs/>
        </w:rPr>
        <w:t xml:space="preserve"> </w:t>
      </w:r>
      <w:r>
        <w:rPr>
          <w:b/>
          <w:bCs/>
        </w:rPr>
        <w:t xml:space="preserve">multi-dimensional data, told as that model would tell it.</w:t>
      </w:r>
      <w:r>
        <w:t xml:space="preserve"> </w:t>
      </w:r>
      <w:r>
        <w:t xml:space="preserve">The chart, the</w:t>
      </w:r>
      <w:r>
        <w:t xml:space="preserve"> </w:t>
      </w:r>
      <w:r>
        <w:t xml:space="preserve">infographic, and the prose are three</w:t>
      </w:r>
      <w:r>
        <w:t xml:space="preserve"> </w:t>
      </w:r>
      <w:r>
        <w:rPr>
          <w:i/>
          <w:iCs/>
        </w:rPr>
        <w:t xml:space="preserve">renderings</w:t>
      </w:r>
      <w:r>
        <w:t xml:space="preserve"> </w:t>
      </w:r>
      <w:r>
        <w:t xml:space="preserve">of that model output. They are</w:t>
      </w:r>
      <w:r>
        <w:t xml:space="preserve"> </w:t>
      </w:r>
      <w:r>
        <w:t xml:space="preserve">downstream of the model, never a substitute for it.</w:t>
      </w:r>
    </w:p>
    <w:p>
      <w:pPr>
        <w:pStyle w:val="BodyText"/>
      </w:pPr>
      <w:r>
        <w:t xml:space="preserve">Lucidate holds the two ingredients this requires: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Vast data</w:t>
      </w:r>
      <w:r>
        <w:t xml:space="preserve"> </w:t>
      </w:r>
      <w:r>
        <w:t xml:space="preserve">— UMD’s 4,093 series across every major asset class (§03).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near-limitless library of real models</w:t>
      </w:r>
      <w:r>
        <w:t xml:space="preserve"> </w:t>
      </w:r>
      <w:r>
        <w:t xml:space="preserve">— sourced from public research</w:t>
      </w:r>
      <w:r>
        <w:t xml:space="preserve"> </w:t>
      </w:r>
      <w:r>
        <w:t xml:space="preserve">(ArXiv, Fed / BIS / ECB working papers, textbooks) — that map multi-dimensional</w:t>
      </w:r>
      <w:r>
        <w:t xml:space="preserve"> </w:t>
      </w:r>
      <w:r>
        <w:t xml:space="preserve">inputs to multi-dimensional outputs.</w:t>
      </w:r>
    </w:p>
    <w:p>
      <w:pPr>
        <w:pStyle w:val="FirstParagraph"/>
      </w:pPr>
      <w:r>
        <w:t xml:space="preserve">The job is to combine them: for any subject, identify the decision(s) at stake,</w:t>
      </w:r>
      <w:r>
        <w:t xml:space="preserve"> </w:t>
      </w:r>
      <w:r>
        <w:t xml:space="preserve">the decision-maker(s), and the model(s) they use; bind those models to the data;</w:t>
      </w:r>
      <w:r>
        <w:t xml:space="preserve"> </w:t>
      </w:r>
      <w:r>
        <w:t xml:space="preserve">run them; and render the story the model tells.</w:t>
      </w:r>
    </w:p>
    <w:p>
      <w:pPr>
        <w:pStyle w:val="CaptionedFigure"/>
      </w:pPr>
      <w:r>
        <w:drawing>
          <wp:inline>
            <wp:extent cx="5334000" cy="340178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./01-vision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1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End w:id="13"/>
    <w:bookmarkStart w:id="16" w:name="this-is-a-known-published-architecture"/>
    <w:p>
      <w:pPr>
        <w:pStyle w:val="Heading2"/>
      </w:pPr>
      <w:r>
        <w:t xml:space="preserve">This is a known, published architecture</w:t>
      </w:r>
    </w:p>
    <w:p>
      <w:pPr>
        <w:pStyle w:val="FirstParagraph"/>
      </w:pPr>
      <w:r>
        <w:t xml:space="preserve">The vision is not speculative. It is the subject of current peer-reviewed work,</w:t>
      </w:r>
      <w:r>
        <w:t xml:space="preserve"> </w:t>
      </w:r>
      <w:r>
        <w:t xml:space="preserve">which supplies both the blueprint and the guardrails.</w:t>
      </w:r>
    </w:p>
    <w:bookmarkStart w:id="14" w:name="the-ai-economist-agent-arxiv-2606.20041"/>
    <w:p>
      <w:pPr>
        <w:pStyle w:val="Heading3"/>
      </w:pPr>
      <w:r>
        <w:t xml:space="preserve">The AI Economist Agent (arXiv 2606.20041)</w:t>
      </w:r>
    </w:p>
    <w:p>
      <w:pPr>
        <w:pStyle w:val="FirstParagraph"/>
      </w:pPr>
      <w:r>
        <w:t xml:space="preserve">A framework for</w:t>
      </w:r>
      <w:r>
        <w:t xml:space="preserve"> </w:t>
      </w:r>
      <w:r>
        <w:rPr>
          <w:i/>
          <w:iCs/>
        </w:rPr>
        <w:t xml:space="preserve">model-grounded</w:t>
      </w:r>
      <w:r>
        <w:t xml:space="preserve"> </w:t>
      </w:r>
      <w:r>
        <w:t xml:space="preserve">economic analysis, proven on exactly Lucidate’s</w:t>
      </w:r>
      <w:r>
        <w:t xml:space="preserve"> </w:t>
      </w:r>
      <w:r>
        <w:t xml:space="preserve">domain —</w:t>
      </w:r>
      <w:r>
        <w:t xml:space="preserve"> </w:t>
      </w:r>
      <w:r>
        <w:rPr>
          <w:i/>
          <w:iCs/>
        </w:rPr>
        <w:t xml:space="preserve">US inflation persistence &amp; Federal Reserve policy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bank</w:t>
      </w:r>
      <w:r>
        <w:rPr>
          <w:i/>
          <w:iCs/>
        </w:rPr>
        <w:t xml:space="preserve"> </w:t>
      </w:r>
      <w:r>
        <w:rPr>
          <w:i/>
          <w:iCs/>
        </w:rPr>
        <w:t xml:space="preserve">stress-test narratives</w:t>
      </w:r>
      <w:r>
        <w:t xml:space="preserve">. Its architecture is the target: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knowledge graph</w:t>
      </w:r>
      <w:r>
        <w:t xml:space="preserve"> </w:t>
      </w:r>
      <w:r>
        <w:t xml:space="preserve">stores a</w:t>
      </w:r>
      <w:r>
        <w:t xml:space="preserve"> </w:t>
      </w:r>
      <w:r>
        <w:rPr>
          <w:b/>
          <w:bCs/>
        </w:rPr>
        <w:t xml:space="preserve">model catalog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Model → ModelSpecification → ModelEquation / ModelAssumption / Inputs / Outputs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separately</w:t>
      </w:r>
      <w:r>
        <w:t xml:space="preserve"> </w:t>
      </w:r>
      <w:r>
        <w:t xml:space="preserve">from text</w:t>
      </w:r>
      <w:r>
        <w:t xml:space="preserve"> </w:t>
      </w:r>
      <w:r>
        <w:t xml:space="preserve">evidence.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planner</w:t>
      </w:r>
      <w:r>
        <w:t xml:space="preserve"> </w:t>
      </w:r>
      <w:r>
        <w:t xml:space="preserve">frames the analysis; a</w:t>
      </w:r>
      <w:r>
        <w:t xml:space="preserve"> </w:t>
      </w:r>
      <w:r>
        <w:rPr>
          <w:b/>
          <w:bCs/>
        </w:rPr>
        <w:t xml:space="preserve">graph retriever</w:t>
      </w:r>
      <w:r>
        <w:t xml:space="preserve"> </w:t>
      </w:r>
      <w:r>
        <w:t xml:space="preserve">returns</w:t>
      </w:r>
      <w:r>
        <w:t xml:space="preserve"> </w:t>
      </w:r>
      <w:r>
        <w:rPr>
          <w:i/>
          <w:iCs/>
        </w:rPr>
        <w:t xml:space="preserve">executable</w:t>
      </w:r>
      <w:r>
        <w:rPr>
          <w:i/>
          <w:iCs/>
        </w:rPr>
        <w:t xml:space="preserve"> </w:t>
      </w:r>
      <w:r>
        <w:rPr>
          <w:i/>
          <w:iCs/>
        </w:rPr>
        <w:t xml:space="preserve">model context</w:t>
      </w:r>
      <w:r>
        <w:t xml:space="preserve">; a</w:t>
      </w:r>
      <w:r>
        <w:t xml:space="preserve"> </w:t>
      </w:r>
      <w:r>
        <w:rPr>
          <w:b/>
          <w:bCs/>
        </w:rPr>
        <w:t xml:space="preserve">model-selection agent</w:t>
      </w:r>
      <w:r>
        <w:t xml:space="preserve"> </w:t>
      </w:r>
      <w:r>
        <w:t xml:space="preserve">emits a</w:t>
      </w:r>
      <w:r>
        <w:t xml:space="preserve"> </w:t>
      </w:r>
      <w:r>
        <w:rPr>
          <w:i/>
          <w:iCs/>
        </w:rPr>
        <w:t xml:space="preserve">structured request</w:t>
      </w:r>
      <w:r>
        <w:t xml:space="preserve"> </w:t>
      </w:r>
      <w:r>
        <w:t xml:space="preserve">choosing a graph model node (never free text).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non-LLM executor</w:t>
      </w:r>
      <w:r>
        <w:t xml:space="preserve"> </w:t>
      </w:r>
      <w:r>
        <w:t xml:space="preserve">binds inputs, runs the model’s implementation function,</w:t>
      </w:r>
      <w:r>
        <w:t xml:space="preserve"> </w:t>
      </w:r>
      <w:r>
        <w:t xml:space="preserve">and writes</w:t>
      </w:r>
      <w:r>
        <w:t xml:space="preserve"> </w:t>
      </w:r>
      <w:r>
        <w:rPr>
          <w:rStyle w:val="VerbatimChar"/>
        </w:rPr>
        <w:t xml:space="preserve">ModelRun / ModelOutputPoint</w:t>
      </w:r>
      <w:r>
        <w:t xml:space="preserve"> </w:t>
      </w:r>
      <w:r>
        <w:t xml:space="preserve">back to the graph.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report generator</w:t>
      </w:r>
      <w:r>
        <w:t xml:space="preserve"> </w:t>
      </w:r>
      <w:r>
        <w:t xml:space="preserve">narrates</w:t>
      </w:r>
      <w:r>
        <w:t xml:space="preserve"> </w:t>
      </w:r>
      <w:r>
        <w:rPr>
          <w:i/>
          <w:iCs/>
        </w:rPr>
        <w:t xml:space="preserve">grounded strictly in the computed outputs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judge</w:t>
      </w:r>
      <w:r>
        <w:t xml:space="preserve"> </w:t>
      </w:r>
      <w:r>
        <w:t xml:space="preserve">scores</w:t>
      </w:r>
      <w:r>
        <w:t xml:space="preserve"> </w:t>
      </w:r>
      <w:r>
        <w:rPr>
          <w:i/>
          <w:iCs/>
        </w:rPr>
        <w:t xml:space="preserve">model grounding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numerical discipline</w:t>
      </w:r>
      <w:r>
        <w:t xml:space="preserve">.</w:t>
      </w:r>
    </w:p>
    <w:p>
      <w:pPr>
        <w:pStyle w:val="FirstParagraph"/>
      </w:pPr>
      <w:r>
        <w:t xml:space="preserve">Its central, load-bearing finding:</w:t>
      </w:r>
    </w:p>
    <w:p>
      <w:pPr>
        <w:pStyle w:val="BlockText"/>
      </w:pPr>
      <w:r>
        <w:rPr>
          <w:b/>
          <w:bCs/>
        </w:rPr>
        <w:t xml:space="preserve">The LLM selects and narrates; it never generates the numbers. Model grounding</w:t>
      </w:r>
      <w:r>
        <w:rPr>
          <w:b/>
          <w:bCs/>
        </w:rPr>
        <w:t xml:space="preserve"> </w:t>
      </w:r>
      <w:r>
        <w:rPr>
          <w:b/>
          <w:bCs/>
        </w:rPr>
        <w:t xml:space="preserve">requires execution. Naming a model without running it scores zero.</w:t>
      </w:r>
    </w:p>
    <w:p>
      <w:pPr>
        <w:pStyle w:val="FirstParagraph"/>
      </w:pPr>
      <w:r>
        <w:t xml:space="preserve">This single principle is the difference between the vision and what Horizon2 does</w:t>
      </w:r>
      <w:r>
        <w:t xml:space="preserve"> </w:t>
      </w:r>
      <w:r>
        <w:t xml:space="preserve">today. Horizon2 has no model to name, let alone execute.</w:t>
      </w:r>
    </w:p>
    <w:bookmarkEnd w:id="14"/>
    <w:bookmarkStart w:id="15" w:name="X4c723af972276515b8efa67e16a2795c108b835"/>
    <w:p>
      <w:pPr>
        <w:pStyle w:val="Heading3"/>
      </w:pPr>
      <w:r>
        <w:t xml:space="preserve">Infogen / Microsoft LIDA — the rendering guardrail</w:t>
      </w:r>
    </w:p>
    <w:p>
      <w:pPr>
        <w:pStyle w:val="FirstParagraph"/>
      </w:pPr>
      <w:r>
        <w:t xml:space="preserve">The same principle governs how the numbers reach the page. The published,</w:t>
      </w:r>
      <w:r>
        <w:t xml:space="preserve"> </w:t>
      </w:r>
      <w:r>
        <w:t xml:space="preserve">data-faithful technique for infographics and charts is:</w:t>
      </w:r>
    </w:p>
    <w:p>
      <w:pPr>
        <w:pStyle w:val="BlockText"/>
      </w:pPr>
      <w:r>
        <w:rPr>
          <w:b/>
          <w:bCs/>
        </w:rPr>
        <w:t xml:space="preserve">verified numbers → structured metadata → deterministic layout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code</w:t>
      </w:r>
      <w:r>
        <w:rPr>
          <w:b/>
          <w:bCs/>
        </w:rPr>
        <w:t xml:space="preserve"> </w:t>
      </w:r>
      <w:r>
        <w:rPr>
          <w:b/>
          <w:bCs/>
        </w:rPr>
        <w:t xml:space="preserve">(HTML / SVG / Plotly) with the numbers injected as literal text → render.</w:t>
      </w:r>
    </w:p>
    <w:p>
      <w:pPr>
        <w:pStyle w:val="FirstParagraph"/>
      </w:pPr>
      <w:r>
        <w:t xml:space="preserve">Numbers are extracted</w:t>
      </w:r>
      <w:r>
        <w:t xml:space="preserve"> </w:t>
      </w:r>
      <w:r>
        <w:rPr>
          <w:b/>
          <w:bCs/>
        </w:rPr>
        <w:t xml:space="preserve">once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never regenerated</w:t>
      </w:r>
      <w:r>
        <w:t xml:space="preserve">,</w:t>
      </w:r>
      <w:r>
        <w:t xml:space="preserve"> </w:t>
      </w:r>
      <w:r>
        <w:t xml:space="preserve">“preventing drift</w:t>
      </w:r>
      <w:r>
        <w:t xml:space="preserve"> </w:t>
      </w:r>
      <w:r>
        <w:t xml:space="preserve">between claim and visualization.”</w:t>
      </w:r>
      <w:r>
        <w:t xml:space="preserve"> </w:t>
      </w:r>
      <w:r>
        <w:t xml:space="preserve">LIDA reports</w:t>
      </w:r>
      <w:r>
        <w:t xml:space="preserve"> </w:t>
      </w:r>
      <w:r>
        <w:rPr>
          <w:b/>
          <w:bCs/>
        </w:rPr>
        <w:t xml:space="preserve">&lt; 3.5%</w:t>
      </w:r>
      <w:r>
        <w:t xml:space="preserve"> </w:t>
      </w:r>
      <w:r>
        <w:t xml:space="preserve">numeric error this way.</w:t>
      </w:r>
      <w:r>
        <w:t xml:space="preserve"> </w:t>
      </w:r>
      <w:r>
        <w:t xml:space="preserve">The corollary is decisive for the infographic litmus test: a</w:t>
      </w:r>
      <w:r>
        <w:t xml:space="preserve"> </w:t>
      </w:r>
      <w:r>
        <w:rPr>
          <w:b/>
          <w:bCs/>
        </w:rPr>
        <w:t xml:space="preserve">diffusion image</w:t>
      </w:r>
      <w:r>
        <w:rPr>
          <w:b/>
          <w:bCs/>
        </w:rPr>
        <w:t xml:space="preserve"> </w:t>
      </w:r>
      <w:r>
        <w:rPr>
          <w:b/>
          <w:bCs/>
        </w:rPr>
        <w:t xml:space="preserve">model cannot render exact numbers</w:t>
      </w:r>
      <w:r>
        <w:t xml:space="preserve"> </w:t>
      </w:r>
      <w:r>
        <w:t xml:space="preserve">and must not be used for a numeric artifact.</w:t>
      </w:r>
    </w:p>
    <w:bookmarkEnd w:id="15"/>
    <w:bookmarkEnd w:id="16"/>
    <w:bookmarkStart w:id="17" w:name="Xaad065480afebc9fbe6d05c2516628371835f2c"/>
    <w:p>
      <w:pPr>
        <w:pStyle w:val="Heading2"/>
      </w:pPr>
      <w:r>
        <w:t xml:space="preserve">The unifying principle (applies to charts, infographics, and prose)</w:t>
      </w:r>
    </w:p>
    <w:p>
      <w:pPr>
        <w:pStyle w:val="BlockText"/>
      </w:pPr>
      <w:r>
        <w:rPr>
          <w:b/>
          <w:bCs/>
        </w:rPr>
        <w:t xml:space="preserve">LLMs select, design, and narrate. Models + data produce the numbers. Code</w:t>
      </w:r>
      <w:r>
        <w:rPr>
          <w:b/>
          <w:bCs/>
        </w:rPr>
        <w:t xml:space="preserve"> </w:t>
      </w:r>
      <w:r>
        <w:rPr>
          <w:b/>
          <w:bCs/>
        </w:rPr>
        <w:t xml:space="preserve">renders deterministically. The LLM never authors a number.</w:t>
      </w:r>
    </w:p>
    <w:p>
      <w:pPr>
        <w:pStyle w:val="FirstParagraph"/>
      </w:pPr>
      <w:r>
        <w:t xml:space="preserve">Every quantity must be</w:t>
      </w:r>
      <w:r>
        <w:t xml:space="preserve"> </w:t>
      </w:r>
      <w:r>
        <w:rPr>
          <w:i/>
          <w:iCs/>
        </w:rPr>
        <w:t xml:space="preserve">traceable</w:t>
      </w:r>
      <w:r>
        <w:t xml:space="preserve">:</w:t>
      </w:r>
      <w:r>
        <w:t xml:space="preserve"> </w:t>
      </w:r>
      <w:r>
        <w:rPr>
          <w:rStyle w:val="VerbatimChar"/>
        </w:rPr>
        <w:t xml:space="preserve">decision → persona → model spec → executed run → output point → rendered mark / prose token</w:t>
      </w:r>
      <w:r>
        <w:t xml:space="preserve">. This is the standard the</w:t>
      </w:r>
      <w:r>
        <w:t xml:space="preserve"> </w:t>
      </w:r>
      <w:r>
        <w:t xml:space="preserve">current application fails on all three surfaces (§04), and the standard the target</w:t>
      </w:r>
      <w:r>
        <w:t xml:space="preserve"> </w:t>
      </w:r>
      <w:r>
        <w:t xml:space="preserve">architecture is built to meet (§06).</w:t>
      </w:r>
    </w:p>
    <w:bookmarkEnd w:id="17"/>
    <w:bookmarkStart w:id="18" w:name="what-generic-means-here"/>
    <w:p>
      <w:pPr>
        <w:pStyle w:val="Heading2"/>
      </w:pPr>
      <w:r>
        <w:t xml:space="preserve">What</w:t>
      </w:r>
      <w:r>
        <w:t xml:space="preserve"> </w:t>
      </w:r>
      <w:r>
        <w:t xml:space="preserve">“generic”</w:t>
      </w:r>
      <w:r>
        <w:t xml:space="preserve"> </w:t>
      </w:r>
      <w:r>
        <w:t xml:space="preserve">means here</w:t>
      </w:r>
    </w:p>
    <w:p>
      <w:pPr>
        <w:pStyle w:val="FirstParagraph"/>
      </w:pPr>
      <w:r>
        <w:t xml:space="preserve">The vision is worthless if it works for one decision-maker and no others — the</w:t>
      </w:r>
      <w:r>
        <w:t xml:space="preserve"> </w:t>
      </w:r>
      <w:r>
        <w:t xml:space="preserve">recurring failure of this project.</w:t>
      </w:r>
      <w:r>
        <w:t xml:space="preserve"> </w:t>
      </w:r>
      <w:r>
        <w:t xml:space="preserve">“Generic”</w:t>
      </w:r>
      <w:r>
        <w:t xml:space="preserve"> </w:t>
      </w:r>
      <w:r>
        <w:t xml:space="preserve">means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machinery serves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decision-maker in the Lucidate remit: central bankers, macro and</w:t>
      </w:r>
      <w:r>
        <w:t xml:space="preserve"> </w:t>
      </w:r>
      <w:r>
        <w:t xml:space="preserve">relative-value rates traders, treasurers, credit / FX / commodity / equity /</w:t>
      </w:r>
      <w:r>
        <w:t xml:space="preserve"> </w:t>
      </w:r>
      <w:r>
        <w:t xml:space="preserve">volatility / event-market traders, and forecasters (§05). That is why the next</w:t>
      </w:r>
      <w:r>
        <w:t xml:space="preserve"> </w:t>
      </w:r>
      <w:r>
        <w:t xml:space="preserve">gate is not</w:t>
      </w:r>
      <w:r>
        <w:t xml:space="preserve"> </w:t>
      </w:r>
      <w:r>
        <w:t xml:space="preserve">“build a great FOMC chart”</w:t>
      </w:r>
      <w:r>
        <w:t xml:space="preserve"> </w:t>
      </w:r>
      <w:r>
        <w:t xml:space="preserve">but</w:t>
      </w:r>
      <w:r>
        <w:t xml:space="preserve"> </w:t>
      </w:r>
      <w:r>
        <w:t xml:space="preserve">“prove the data layers can feed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w:r>
        <w:t xml:space="preserve">decision-maker’s model”</w:t>
      </w:r>
      <w:r>
        <w:t xml:space="preserve"> </w:t>
      </w:r>
      <w:r>
        <w:t xml:space="preserve">(§07, §09).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2026-07-10T10:58:44Z</dcterms:created>
  <dcterms:modified xsi:type="dcterms:W3CDTF">2026-07-10T10:58:44Z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