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current-state-architecture"/>
    <w:p>
      <w:pPr>
        <w:pStyle w:val="Heading1"/>
      </w:pPr>
      <w:r>
        <w:t xml:space="preserve">02 — Current-State Architecture</w:t>
      </w:r>
    </w:p>
    <w:p>
      <w:pPr>
        <w:pStyle w:val="FirstParagraph"/>
      </w:pPr>
      <w:r>
        <w:t xml:space="preserve">This document describes what exists today, accurately and without euphemism, so</w:t>
      </w:r>
      <w:r>
        <w:t xml:space="preserve"> </w:t>
      </w:r>
      <w:r>
        <w:t xml:space="preserve">the audit (§03) and post-mortem (§04) rest on a shared picture.</w:t>
      </w:r>
    </w:p>
    <w:bookmarkStart w:id="12" w:name="two-systems-one-product"/>
    <w:p>
      <w:pPr>
        <w:pStyle w:val="Heading2"/>
      </w:pPr>
      <w:r>
        <w:t xml:space="preserve">Two systems, one product</w:t>
      </w:r>
    </w:p>
    <w:p>
      <w:pPr>
        <w:pStyle w:val="CaptionedFigure"/>
      </w:pPr>
      <w:r>
        <w:drawing>
          <wp:inline>
            <wp:extent cx="5334000" cy="9477375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2-current-state-architecture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7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"/>
    <w:bookmarkStart w:id="14" w:name="the-application-pipeline-horizon2"/>
    <w:p>
      <w:pPr>
        <w:pStyle w:val="Heading2"/>
      </w:pPr>
      <w:r>
        <w:t xml:space="preserve">The application pipeline (Horizon2)</w:t>
      </w:r>
    </w:p>
    <w:p>
      <w:pPr>
        <w:pStyle w:val="FirstParagraph"/>
      </w:pPr>
      <w:r>
        <w:t xml:space="preserve">Horizon2 is a</w:t>
      </w:r>
      <w:r>
        <w:t xml:space="preserve"> </w:t>
      </w:r>
      <w:r>
        <w:rPr>
          <w:b/>
          <w:bCs/>
        </w:rPr>
        <w:t xml:space="preserve">LangGraph state machine of 29 nodes</w:t>
      </w:r>
      <w:r>
        <w:t xml:space="preserve"> </w:t>
      </w:r>
      <w:r>
        <w:t xml:space="preserve">producing one article per</w:t>
      </w:r>
      <w:r>
        <w:t xml:space="preserve"> </w:t>
      </w:r>
      <w:r>
        <w:t xml:space="preserve">run. The spine, in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select_event / resolve_data</w:t>
      </w:r>
      <w:r>
        <w:t xml:space="preserve"> </w:t>
      </w:r>
      <w:r>
        <w:t xml:space="preserve">— resolve a template or free-text subject to a</w:t>
      </w:r>
      <w:r>
        <w:t xml:space="preserve"> </w:t>
      </w:r>
      <w:r>
        <w:t xml:space="preserve">set of UMD series.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fetch_data / fetch_pm_data</w:t>
      </w:r>
      <w:r>
        <w:t xml:space="preserve"> </w:t>
      </w:r>
      <w:r>
        <w:t xml:space="preserve">— pull those series (direct SQL to TimescaleDB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MarketDataAPI</w:t>
      </w:r>
      <w:r>
        <w:t xml:space="preserve">), plus Kalshi prediction-market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chart_planner</w:t>
      </w:r>
      <w:r>
        <w:t xml:space="preserve"> </w:t>
      </w:r>
      <w:r>
        <w:t xml:space="preserve">— in subject mode, a Sonnet call picks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charts: 2–4</w:t>
      </w:r>
      <w:r>
        <w:t xml:space="preserve"> </w:t>
      </w:r>
      <w:r>
        <w:rPr>
          <w:rStyle w:val="VerbatimChar"/>
        </w:rPr>
        <w:t xml:space="preserve">{chart_type, series, one-line title}</w:t>
      </w:r>
      <w:r>
        <w:t xml:space="preserve"> </w:t>
      </w:r>
      <w:r>
        <w:t xml:space="preserve">intents from a 4-item vocabulary.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build_charts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Lucidate engine</w:t>
      </w:r>
      <w:r>
        <w:t xml:space="preserve">: for each intent a Sonnet tool-use</w:t>
      </w:r>
      <w:r>
        <w:t xml:space="preserve"> </w:t>
      </w:r>
      <w:r>
        <w:t xml:space="preserve">call emits a typed</w:t>
      </w:r>
      <w:r>
        <w:t xml:space="preserve"> </w:t>
      </w:r>
      <w:r>
        <w:rPr>
          <w:rStyle w:val="VerbatimChar"/>
        </w:rPr>
        <w:t xml:space="preserve">LucidateChartSpec</w:t>
      </w:r>
      <w:r>
        <w:t xml:space="preserve">, which one of</w:t>
      </w:r>
      <w:r>
        <w:t xml:space="preserve"> </w:t>
      </w:r>
      <w:r>
        <w:rPr>
          <w:b/>
          <w:bCs/>
        </w:rPr>
        <w:t xml:space="preserve">five deterministic</w:t>
      </w:r>
      <w:r>
        <w:rPr>
          <w:b/>
          <w:bCs/>
        </w:rPr>
        <w:t xml:space="preserve"> </w:t>
      </w:r>
      <w:r>
        <w:rPr>
          <w:b/>
          <w:bCs/>
        </w:rPr>
        <w:t xml:space="preserve">grammar builders</w:t>
      </w:r>
      <w:r>
        <w:t xml:space="preserve"> </w:t>
      </w:r>
      <w:r>
        <w:t xml:space="preserve">(G1 wedge, G2 atlas, G3 lattice, G4 layered, G4 stacked)</w:t>
      </w:r>
      <w:r>
        <w:t xml:space="preserve"> </w:t>
      </w:r>
      <w:r>
        <w:t xml:space="preserve">renders via Plotly. ~9,500 LOC — the largest single subsystem.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write_article</w:t>
      </w:r>
      <w:r>
        <w:t xml:space="preserve"> </w:t>
      </w:r>
      <w:r>
        <w:t xml:space="preserve">— a single multimodal Opus call writes prose around the</w:t>
      </w:r>
      <w:r>
        <w:t xml:space="preserve"> </w:t>
      </w:r>
      <w:r>
        <w:t xml:space="preserve">charts (the charts’ PNGs are now passed to the model).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gates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fact_check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editorial_review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final_review</w:t>
      </w:r>
      <w:r>
        <w:t xml:space="preserve">, house-style</w:t>
      </w:r>
      <w:r>
        <w:t xml:space="preserve"> </w:t>
      </w:r>
      <w:r>
        <w:t xml:space="preserve">and slop critics, with a revise-or-refuse loop and an</w:t>
      </w:r>
      <w:r>
        <w:t xml:space="preserve"> </w:t>
      </w:r>
      <w:r>
        <w:t xml:space="preserve">“export-with-warnings”</w:t>
      </w:r>
      <w:r>
        <w:t xml:space="preserve"> </w:t>
      </w:r>
      <w:r>
        <w:t xml:space="preserve">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</w:t>
      </w:r>
      <w:r>
        <w:t xml:space="preserve"> </w:t>
      </w:r>
      <w:r>
        <w:t xml:space="preserve">— DOCX, Substack HTML, a</w:t>
      </w:r>
      <w:r>
        <w:t xml:space="preserve"> </w:t>
      </w:r>
      <w:r>
        <w:rPr>
          <w:b/>
          <w:bCs/>
        </w:rPr>
        <w:t xml:space="preserve">hero illustration and an infographic</w:t>
      </w:r>
      <w:r>
        <w:rPr>
          <w:b/>
          <w:bCs/>
        </w:rPr>
        <w:t xml:space="preserve"> </w:t>
      </w:r>
      <w:r>
        <w:rPr>
          <w:b/>
          <w:bCs/>
        </w:rPr>
        <w:t xml:space="preserve">(both via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gpt-image-2</w:t>
      </w:r>
      <w:r>
        <w:rPr>
          <w:b/>
          <w:bCs/>
        </w:rPr>
        <w:t xml:space="preserve"> </w:t>
      </w:r>
      <w:r>
        <w:rPr>
          <w:b/>
          <w:bCs/>
        </w:rPr>
        <w:t xml:space="preserve">diffusion model)</w:t>
      </w:r>
      <w:r>
        <w:t xml:space="preserve">, and a social card.</w:t>
      </w:r>
    </w:p>
    <w:bookmarkStart w:id="13" w:name="what-the-pipeline-is-architecturally"/>
    <w:p>
      <w:pPr>
        <w:pStyle w:val="Heading3"/>
      </w:pPr>
      <w:r>
        <w:t xml:space="preserve">What the pipeline</w:t>
      </w:r>
      <w:r>
        <w:t xml:space="preserve"> </w:t>
      </w:r>
      <w:r>
        <w:rPr>
          <w:i/>
          <w:iCs/>
        </w:rPr>
        <w:t xml:space="preserve">is</w:t>
      </w:r>
      <w:r>
        <w:t xml:space="preserve">, architecturally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series-plotting and gate-checking pipeline</w:t>
      </w:r>
      <w:r>
        <w:t xml:space="preserve">. Its organising ideas are</w:t>
      </w:r>
      <w:r>
        <w:t xml:space="preserve"> </w:t>
      </w:r>
      <w:r>
        <w:t xml:space="preserve">“select some series and a chart shape”</w:t>
      </w:r>
      <w:r>
        <w:t xml:space="preserve"> </w:t>
      </w:r>
      <w:r>
        <w:t xml:space="preserve">and</w:t>
      </w:r>
      <w:r>
        <w:t xml:space="preserve"> </w:t>
      </w:r>
      <w:r>
        <w:t xml:space="preserve">“pass a battery of text-based gates.”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model-execution stage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representation of a decision-maker</w:t>
      </w:r>
      <w:r>
        <w:rPr>
          <w:b/>
          <w:bCs/>
        </w:rPr>
        <w:t xml:space="preserve"> </w:t>
      </w:r>
      <w:r>
        <w:rPr>
          <w:b/>
          <w:bCs/>
        </w:rPr>
        <w:t xml:space="preserve">or their model</w:t>
      </w:r>
      <w:r>
        <w:t xml:space="preserve"> </w:t>
      </w:r>
      <w:r>
        <w:t xml:space="preserve">anywhere in the 29 nodes. Insight, in the vision’s sense, has no</w:t>
      </w:r>
      <w:r>
        <w:t xml:space="preserve"> </w:t>
      </w:r>
      <w:r>
        <w:t xml:space="preserve">home in this design.</w:t>
      </w:r>
    </w:p>
    <w:bookmarkEnd w:id="13"/>
    <w:bookmarkEnd w:id="14"/>
    <w:bookmarkStart w:id="16" w:name="the-data-platform-umd"/>
    <w:p>
      <w:pPr>
        <w:pStyle w:val="Heading2"/>
      </w:pPr>
      <w:r>
        <w:t xml:space="preserve">The data platform (UMD)</w:t>
      </w:r>
    </w:p>
    <w:p>
      <w:pPr>
        <w:pStyle w:val="FirstParagraph"/>
      </w:pPr>
      <w:r>
        <w:t xml:space="preserve">UMD is a mature, multi-database market-data warehouse.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Providers (13.4k LOC, 38 files):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subclass per source,</w:t>
      </w:r>
      <w:r>
        <w:t xml:space="preserve"> </w:t>
      </w:r>
      <w:r>
        <w:t xml:space="preserve">auto-discovered, each declaring</w:t>
      </w:r>
      <w:r>
        <w:t xml:space="preserve"> </w:t>
      </w:r>
      <w:r>
        <w:rPr>
          <w:rStyle w:val="VerbatimChar"/>
        </w:rPr>
        <w:t xml:space="preserve">SeriesSpec</w:t>
      </w:r>
      <w:r>
        <w:t xml:space="preserve">s. Coverage spans official macro</w:t>
      </w:r>
      <w:r>
        <w:t xml:space="preserve"> </w:t>
      </w:r>
      <w:r>
        <w:t xml:space="preserve">(FRED, BLS, BEA), every major central bank, IMF/OECD/World Bank, positioning</w:t>
      </w:r>
      <w:r>
        <w:t xml:space="preserve"> </w:t>
      </w:r>
      <w:r>
        <w:t xml:space="preserve">(CFTC), commodities (EIA, USDA, FAO), rates curves (CME, LCH), options (Deribit,</w:t>
      </w:r>
      <w:r>
        <w:t xml:space="preserve"> </w:t>
      </w:r>
      <w:r>
        <w:t xml:space="preserve">equity options), and prediction markets (Kalshi economics + perps).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 (11.6k LOC, 25 files):</w:t>
      </w:r>
      <w:r>
        <w:t xml:space="preserve"> </w:t>
      </w:r>
      <w:r>
        <w:rPr>
          <w:i/>
          <w:iCs/>
        </w:rPr>
        <w:t xml:space="preserve">executable quantitative models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fair_value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spx_fair_value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rate_path_model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kalshi_implied_distribution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gaussian_rate_kernel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vol_surface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historical_vol</w:t>
      </w:r>
      <w:r>
        <w:t xml:space="preserve">, and more.</w:t>
      </w:r>
      <w:r>
        <w:t xml:space="preserve"> </w:t>
      </w:r>
      <w:r>
        <w:rPr>
          <w:b/>
          <w:bCs/>
        </w:rPr>
        <w:t xml:space="preserve">These are precisely the</w:t>
      </w:r>
      <w:r>
        <w:rPr>
          <w:b/>
          <w:bCs/>
        </w:rPr>
        <w:t xml:space="preserve"> </w:t>
      </w:r>
      <w:r>
        <w:rPr>
          <w:b/>
          <w:bCs/>
        </w:rPr>
        <w:t xml:space="preserve">“implementation functions”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the target architecture needs</w:t>
      </w:r>
      <w:r>
        <w:t xml:space="preserve"> </w:t>
      </w:r>
      <w:r>
        <w:t xml:space="preserve">— they already run</w:t>
      </w:r>
      <w:r>
        <w:t xml:space="preserve"> </w:t>
      </w:r>
      <w:r>
        <w:t xml:space="preserve">and produce numbers.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 (18.2k LOC, 46 files):</w:t>
      </w:r>
      <w:r>
        <w:t xml:space="preserve"> </w:t>
      </w:r>
      <w:r>
        <w:t xml:space="preserve">orchestration, including</w:t>
      </w:r>
      <w:r>
        <w:t xml:space="preserve"> </w:t>
      </w:r>
      <w:r>
        <w:rPr>
          <w:rStyle w:val="VerbatimChar"/>
        </w:rPr>
        <w:t xml:space="preserve">pm_service</w:t>
      </w:r>
      <w:r>
        <w:t xml:space="preserve"> </w:t>
      </w:r>
      <w:r>
        <w:t xml:space="preserve">(fair-value pipeline),</w:t>
      </w:r>
      <w:r>
        <w:t xml:space="preserve"> </w:t>
      </w:r>
      <w:r>
        <w:rPr>
          <w:rStyle w:val="VerbatimChar"/>
        </w:rPr>
        <w:t xml:space="preserve">expectations</w:t>
      </w:r>
      <w:r>
        <w:t xml:space="preserve"> </w:t>
      </w:r>
      <w:r>
        <w:t xml:space="preserve">(market-implied surprise baseline),</w:t>
      </w:r>
      <w:r>
        <w:t xml:space="preserve"> </w:t>
      </w:r>
      <w:r>
        <w:rPr>
          <w:rStyle w:val="VerbatimChar"/>
        </w:rPr>
        <w:t xml:space="preserve">surprise_detector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model_retrain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databases</w:t>
      </w:r>
      <w:r>
        <w:t xml:space="preserve"> </w:t>
      </w:r>
      <w:r>
        <w:t xml:space="preserve">(detailed in §03):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TimescaleDB</w:t>
      </w:r>
      <w:r>
        <w:t xml:space="preserve"> </w:t>
      </w:r>
      <w:r>
        <w:t xml:space="preserve">— the time-series store (</w:t>
      </w:r>
      <w:r>
        <w:rPr>
          <w:rStyle w:val="VerbatimChar"/>
        </w:rPr>
        <w:t xml:space="preserve">observations</w:t>
      </w:r>
      <w:r>
        <w:t xml:space="preserve">, 4,093 series).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Relational tables</w:t>
      </w:r>
      <w:r>
        <w:t xml:space="preserve"> </w:t>
      </w:r>
      <w:r>
        <w:t xml:space="preserve">(same instance) — model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and snapshots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fv_runs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divergence_signals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regime_history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spread_snapshots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world_state_snapshots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Neo4j</w:t>
      </w:r>
      <w:r>
        <w:t xml:space="preserve"> </w:t>
      </w:r>
      <w:r>
        <w:t xml:space="preserve">— an economic-relationship graph (</w:t>
      </w:r>
      <w:r>
        <w:rPr>
          <w:rStyle w:val="VerbatimChar"/>
        </w:rPr>
        <w:t xml:space="preserve">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TRANSMITS_TO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SENSITIVE_TO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CORRELATES_WITH</w:t>
      </w:r>
      <w:r>
        <w:t xml:space="preserve">, …).</w:t>
      </w:r>
    </w:p>
    <w:bookmarkStart w:id="15" w:name="X5086b292d370b5cb35616b3c7ed80e93cc07069"/>
    <w:p>
      <w:pPr>
        <w:pStyle w:val="Heading3"/>
      </w:pPr>
      <w:r>
        <w:t xml:space="preserve">What the data platform</w:t>
      </w:r>
      <w:r>
        <w:t xml:space="preserve"> </w:t>
      </w:r>
      <w:r>
        <w:rPr>
          <w:i/>
          <w:iCs/>
        </w:rPr>
        <w:t xml:space="preserve">is</w:t>
      </w:r>
      <w:r>
        <w:t xml:space="preserve">, architecturally</w:t>
      </w:r>
    </w:p>
    <w:p>
      <w:pPr>
        <w:pStyle w:val="FirstParagraph"/>
      </w:pPr>
      <w:r>
        <w:t xml:space="preserve">A sound, extensible data layer with real models attached —</w:t>
      </w:r>
      <w:r>
        <w:t xml:space="preserve"> </w:t>
      </w:r>
      <w:r>
        <w:rPr>
          <w:b/>
          <w:bCs/>
        </w:rPr>
        <w:t xml:space="preserve">but wired to serve</w:t>
      </w:r>
      <w:r>
        <w:rPr>
          <w:b/>
          <w:bCs/>
        </w:rPr>
        <w:t xml:space="preserve"> </w:t>
      </w:r>
      <w:r>
        <w:rPr>
          <w:b/>
          <w:bCs/>
        </w:rPr>
        <w:t xml:space="preserve">the current app, not the vision.</w:t>
      </w:r>
      <w:r>
        <w:t xml:space="preserve"> </w:t>
      </w:r>
      <w:r>
        <w:t xml:space="preserve">The models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are called ad hoc by</w:t>
      </w:r>
      <w:r>
        <w:t xml:space="preserve"> </w:t>
      </w:r>
      <w:r>
        <w:t xml:space="preserve">services;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catalogued, not bound to decision-makers, and their</w:t>
      </w:r>
      <w:r>
        <w:t xml:space="preserve"> </w:t>
      </w:r>
      <w:r>
        <w:t xml:space="preserve">selection is hard-coded, not reasoned. The graph describes</w:t>
      </w:r>
      <w:r>
        <w:t xml:space="preserve"> </w:t>
      </w:r>
      <w:r>
        <w:rPr>
          <w:i/>
          <w:iCs/>
        </w:rPr>
        <w:t xml:space="preserve">relationships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indicators</w:t>
      </w:r>
      <w:r>
        <w:t xml:space="preserve">, not</w:t>
      </w:r>
      <w:r>
        <w:t xml:space="preserve"> </w:t>
      </w:r>
      <w:r>
        <w:rPr>
          <w:i/>
          <w:iCs/>
        </w:rPr>
        <w:t xml:space="preserve">models held by decision-makers</w:t>
      </w:r>
      <w:r>
        <w:t xml:space="preserve">. The raw material for the vision</w:t>
      </w:r>
      <w:r>
        <w:t xml:space="preserve"> </w:t>
      </w:r>
      <w:r>
        <w:t xml:space="preserve">is here; the organising spine is not.</w:t>
      </w:r>
    </w:p>
    <w:bookmarkEnd w:id="15"/>
    <w:bookmarkEnd w:id="16"/>
    <w:bookmarkStart w:id="17" w:name="the-seam-between-them"/>
    <w:p>
      <w:pPr>
        <w:pStyle w:val="Heading2"/>
      </w:pPr>
      <w:r>
        <w:t xml:space="preserve">The seam between them</w:t>
      </w:r>
    </w:p>
    <w:p>
      <w:pPr>
        <w:pStyle w:val="FirstParagraph"/>
      </w:pPr>
      <w:r>
        <w:t xml:space="preserve">Horizon2 consumes UMD through</w:t>
      </w:r>
      <w:r>
        <w:t xml:space="preserve"> </w:t>
      </w:r>
      <w:r>
        <w:rPr>
          <w:rStyle w:val="VerbatimChar"/>
        </w:rPr>
        <w:t xml:space="preserve">MarketDataAPI</w:t>
      </w:r>
      <w:r>
        <w:t xml:space="preserve">, direct SQL, and Cypher — a clean,</w:t>
      </w:r>
      <w:r>
        <w:t xml:space="preserve"> </w:t>
      </w:r>
      <w:r>
        <w:t xml:space="preserve">well-defined seam. This matters enormously for the recommendation (§08): because</w:t>
      </w:r>
      <w:r>
        <w:t xml:space="preserve"> </w:t>
      </w:r>
      <w:r>
        <w:t xml:space="preserve">the two systems are decoupled at a real interface,</w:t>
      </w:r>
      <w:r>
        <w:t xml:space="preserve"> </w:t>
      </w:r>
      <w:r>
        <w:rPr>
          <w:b/>
          <w:bCs/>
        </w:rPr>
        <w:t xml:space="preserve">the data platform can be kept</w:t>
      </w:r>
      <w:r>
        <w:rPr>
          <w:b/>
          <w:bCs/>
        </w:rPr>
        <w:t xml:space="preserve"> </w:t>
      </w:r>
      <w:r>
        <w:rPr>
          <w:b/>
          <w:bCs/>
        </w:rPr>
        <w:t xml:space="preserve">and extended while the application is rebuilt against the same seam.</w:t>
      </w:r>
      <w:r>
        <w:t xml:space="preserve"> </w:t>
      </w:r>
      <w:r>
        <w:t xml:space="preserve">The seam is</w:t>
      </w:r>
      <w:r>
        <w:t xml:space="preserve"> </w:t>
      </w:r>
      <w:r>
        <w:t xml:space="preserve">the reason</w:t>
      </w:r>
      <w:r>
        <w:t xml:space="preserve"> </w:t>
      </w:r>
      <w:r>
        <w:t xml:space="preserve">“salvage the data, restart the app”</w:t>
      </w:r>
      <w:r>
        <w:t xml:space="preserve"> </w:t>
      </w:r>
      <w:r>
        <w:t xml:space="preserve">is a coherent, low-risk option</w:t>
      </w:r>
      <w:r>
        <w:t xml:space="preserve"> </w:t>
      </w:r>
      <w:r>
        <w:t xml:space="preserve">rather than an all-or-nothing gamble.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2026-07-10T10:58:45Z</dcterms:created>
  <dcterms:modified xsi:type="dcterms:W3CDTF">2026-07-10T10:58:45Z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