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Lucidate / Horizon Assessment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data-layer-audit-live-findings"/>
    <w:p>
      <w:pPr>
        <w:pStyle w:val="Heading1"/>
      </w:pPr>
      <w:r>
        <w:t xml:space="preserve">03 — Data-Layer Audit (live findings)</w:t>
      </w:r>
    </w:p>
    <w:p>
      <w:pPr>
        <w:pStyle w:val="FirstParagraph"/>
      </w:pPr>
      <w:r>
        <w:t xml:space="preserve">All figures below are from</w:t>
      </w:r>
      <w:r>
        <w:t xml:space="preserve"> </w:t>
      </w:r>
      <w:r>
        <w:rPr>
          <w:b/>
          <w:bCs/>
        </w:rPr>
        <w:t xml:space="preserve">live queries run against the production databases</w:t>
      </w:r>
      <w:r>
        <w:t xml:space="preserve"> </w:t>
      </w:r>
      <w:r>
        <w:t xml:space="preserve">on 2026-07-10, not from documentation. This is the evidence base for the</w:t>
      </w:r>
      <w:r>
        <w:t xml:space="preserve"> </w:t>
      </w:r>
      <w:r>
        <w:t xml:space="preserve">“validate the data layers first”</w:t>
      </w:r>
      <w:r>
        <w:t xml:space="preserve"> </w:t>
      </w:r>
      <w:r>
        <w:t xml:space="preserve">gate.</w:t>
      </w:r>
    </w:p>
    <w:bookmarkStart w:id="9" w:name="summary-verdict"/>
    <w:p>
      <w:pPr>
        <w:pStyle w:val="Heading2"/>
      </w:pPr>
      <w:r>
        <w:t xml:space="preserve">Summary verdict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Fit for a generic app?</w:t>
            </w:r>
          </w:p>
        </w:tc>
        <w:tc>
          <w:tcPr/>
          <w:p>
            <w:pPr>
              <w:pStyle w:val="Compact"/>
            </w:pPr>
            <w:r>
              <w:t xml:space="preserve">Nature of the 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Time-series (TimescaleDB)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Partially</w:t>
            </w:r>
            <w:r>
              <w:t xml:space="preserve"> </w:t>
            </w:r>
            <w:r>
              <w:t xml:space="preserve">— broad but un-normalized</w:t>
            </w:r>
          </w:p>
        </w:tc>
        <w:tc>
          <w:tcPr/>
          <w:p>
            <w:pPr>
              <w:pStyle w:val="Compact"/>
            </w:pPr>
            <w:r>
              <w:t xml:space="preserve">Data-quality (inconsistent taxonomy); coverage to be confirmed against the model 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Relational (same instance)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Partially</w:t>
            </w:r>
            <w:r>
              <w:t xml:space="preserve"> </w:t>
            </w:r>
            <w:r>
              <w:t xml:space="preserve">— outputs yes, config no</w:t>
            </w:r>
          </w:p>
        </w:tc>
        <w:tc>
          <w:tcPr/>
          <w:p>
            <w:pPr>
              <w:pStyle w:val="Compact"/>
            </w:pPr>
            <w:r>
              <w:t xml:space="preserve">Stores model</w:t>
            </w:r>
            <w:r>
              <w:t xml:space="preserve"> </w:t>
            </w:r>
            <w:r>
              <w:rPr>
                <w:i/>
                <w:iCs/>
              </w:rPr>
              <w:t xml:space="preserve">outputs</w:t>
            </w:r>
            <w:r>
              <w:t xml:space="preserve">; has no model</w:t>
            </w:r>
            <w:r>
              <w:t xml:space="preserve"> </w:t>
            </w:r>
            <w:r>
              <w:rPr>
                <w:i/>
                <w:iCs/>
              </w:rPr>
              <w:t xml:space="preserve">config</w:t>
            </w:r>
            <w:r>
              <w:t xml:space="preserve"> </w:t>
            </w:r>
            <w:r>
              <w:t xml:space="preserve">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 (Neo4j)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— the spine is absent</w:t>
            </w:r>
          </w:p>
        </w:tc>
        <w:tc>
          <w:tcPr/>
          <w:p>
            <w:pPr>
              <w:pStyle w:val="Compact"/>
            </w:pPr>
            <w:r>
              <w:t xml:space="preserve">Rich</w:t>
            </w:r>
            <w:r>
              <w:t xml:space="preserve"> </w:t>
            </w:r>
            <w:r>
              <w:rPr>
                <w:i/>
                <w:iCs/>
              </w:rPr>
              <w:t xml:space="preserve">indicator</w:t>
            </w:r>
            <w:r>
              <w:t xml:space="preserve"> </w:t>
            </w:r>
            <w:r>
              <w:t xml:space="preserve">ontology;</w:t>
            </w:r>
            <w:r>
              <w:t xml:space="preserve"> </w:t>
            </w:r>
            <w:r>
              <w:rPr>
                <w:b/>
                <w:bCs/>
              </w:rPr>
              <w:t xml:space="preserve">zero</w:t>
            </w:r>
            <w:r>
              <w:t xml:space="preserve"> </w:t>
            </w:r>
            <w:r>
              <w:t xml:space="preserve">model / decision-maker nodes</w:t>
            </w:r>
          </w:p>
        </w:tc>
      </w:tr>
    </w:tbl>
    <w:bookmarkEnd w:id="9"/>
    <w:bookmarkStart w:id="10" w:name="time-series-layer-timescaledb"/>
    <w:p>
      <w:pPr>
        <w:pStyle w:val="Heading2"/>
      </w:pPr>
      <w:r>
        <w:t xml:space="preserve">1. Time-series layer — TimescaleDB</w:t>
      </w:r>
    </w:p>
    <w:p>
      <w:pPr>
        <w:pStyle w:val="FirstParagraph"/>
      </w:pPr>
      <w:r>
        <w:rPr>
          <w:b/>
          <w:bCs/>
        </w:rPr>
        <w:t xml:space="preserve">Scale:</w:t>
      </w:r>
      <w:r>
        <w:t xml:space="preserve"> </w:t>
      </w:r>
      <w:r>
        <w:t xml:space="preserve">4,093 distinct series,</w:t>
      </w:r>
      <w:r>
        <w:t xml:space="preserve"> </w:t>
      </w:r>
      <w:r>
        <w:rPr>
          <w:b/>
          <w:bCs/>
        </w:rPr>
        <w:t xml:space="preserve">26,091,070</w:t>
      </w:r>
      <w:r>
        <w:t xml:space="preserve"> </w:t>
      </w:r>
      <w:r>
        <w:t xml:space="preserve">observations.</w:t>
      </w:r>
    </w:p>
    <w:p>
      <w:pPr>
        <w:pStyle w:val="BodyText"/>
      </w:pPr>
      <w:r>
        <w:rPr>
          <w:b/>
          <w:bCs/>
        </w:rPr>
        <w:t xml:space="preserve">Breadth by source (top):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Series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Series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kalshi</w:t>
            </w:r>
          </w:p>
        </w:tc>
        <w:tc>
          <w:tcPr/>
          <w:p>
            <w:pPr>
              <w:pStyle w:val="Compact"/>
            </w:pPr>
            <w:r>
              <w:t xml:space="preserve">2,214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fred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kalshi_trades</w:t>
            </w:r>
          </w:p>
        </w:tc>
        <w:tc>
          <w:tcPr/>
          <w:p>
            <w:pPr>
              <w:pStyle w:val="Compact"/>
            </w:pPr>
            <w:r>
              <w:t xml:space="preserve">565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yahoo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cme</w:t>
            </w:r>
          </w:p>
        </w:tc>
        <w:tc>
          <w:tcPr/>
          <w:p>
            <w:pPr>
              <w:pStyle w:val="Compact"/>
            </w:pPr>
            <w:r>
              <w:t xml:space="preserve">346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bls</w:t>
            </w:r>
          </w:p>
        </w:tc>
        <w:tc>
          <w:tcPr/>
          <w:p>
            <w:pPr>
              <w:pStyle w:val="Compact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worldbank</w:t>
            </w:r>
          </w:p>
        </w:tc>
        <w:tc>
          <w:tcPr/>
          <w:p>
            <w:pPr>
              <w:pStyle w:val="Compact"/>
            </w:pPr>
            <w:r>
              <w:t xml:space="preserve">307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sovereign_cds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126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oecd/ecb/eia/bea/…</w:t>
            </w:r>
          </w:p>
        </w:tc>
        <w:tc>
          <w:tcPr/>
          <w:p>
            <w:pPr>
              <w:pStyle w:val="Compact"/>
            </w:pPr>
            <w:r>
              <w:t xml:space="preserve">~250 combined</w:t>
            </w:r>
          </w:p>
        </w:tc>
      </w:tr>
    </w:tbl>
    <w:p>
      <w:pPr>
        <w:pStyle w:val="BodyText"/>
      </w:pPr>
      <w:r>
        <w:rPr>
          <w:b/>
          <w:bCs/>
        </w:rPr>
        <w:t xml:space="preserve">Breadth by asset class (as stored):</w:t>
      </w:r>
      <w:r>
        <w:t xml:space="preserve"> </w:t>
      </w:r>
      <w:r>
        <w:t xml:space="preserve">macro 1,907 · prediction 1,096 ·</w:t>
      </w:r>
      <w:r>
        <w:t xml:space="preserve"> </w:t>
      </w:r>
      <w:r>
        <w:t xml:space="preserve">prediction_markets 255 · rates 219 ·</w:t>
      </w:r>
      <w:r>
        <w:t xml:space="preserve"> </w:t>
      </w:r>
      <w:r>
        <w:rPr>
          <w:i/>
          <w:iCs/>
        </w:rPr>
        <w:t xml:space="preserve">(blank)</w:t>
      </w:r>
      <w:r>
        <w:t xml:space="preserve"> </w:t>
      </w:r>
      <w:r>
        <w:t xml:space="preserve">126 · agriculture 118 · fx 107 ·</w:t>
      </w:r>
      <w:r>
        <w:t xml:space="preserve"> </w:t>
      </w:r>
      <w:r>
        <w:t xml:space="preserve">equities 70 · commodities 63 · credit 61 · interest-rates 61 · energy 60 ·</w:t>
      </w:r>
      <w:r>
        <w:t xml:space="preserve"> </w:t>
      </w:r>
      <w:r>
        <w:t xml:space="preserve">metals 45 · crypto 16 · yields 13 · equity 7 · …</w:t>
      </w:r>
    </w:p>
    <w:p>
      <w:pPr>
        <w:pStyle w:val="BodyText"/>
      </w:pPr>
      <w:r>
        <w:rPr>
          <w:b/>
          <w:bCs/>
        </w:rPr>
        <w:t xml:space="preserve">The defect — an incoherent taxonomy.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asset_class</w:t>
      </w:r>
      <w:r>
        <w:t xml:space="preserve"> </w:t>
      </w:r>
      <w:r>
        <w:t xml:space="preserve">field is not a</w:t>
      </w:r>
      <w:r>
        <w:t xml:space="preserve"> </w:t>
      </w:r>
      <w:r>
        <w:t xml:space="preserve">controlled vocabulary. The same concept appears under multiple labels: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rates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interest-rates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yields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equities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equity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commodities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commodity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prediction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prediction_markets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126 series with a blank asset class</w:t>
      </w:r>
      <w:r>
        <w:t xml:space="preserve"> </w:t>
      </w:r>
      <w:r>
        <w:t xml:space="preserve">(the entire</w:t>
      </w:r>
      <w:r>
        <w:t xml:space="preserve"> </w:t>
      </w:r>
      <w:r>
        <w:rPr>
          <w:rStyle w:val="VerbatimChar"/>
        </w:rPr>
        <w:t xml:space="preserve">derived</w:t>
      </w:r>
      <w:r>
        <w:t xml:space="preserve"> </w:t>
      </w:r>
      <w:r>
        <w:t xml:space="preserve">source)</w:t>
      </w:r>
    </w:p>
    <w:p>
      <w:pPr>
        <w:pStyle w:val="FirstParagraph"/>
      </w:pPr>
      <w:r>
        <w:t xml:space="preserve">A generic app that routes a decision-maker’s model to its inputs</w:t>
      </w:r>
      <w:r>
        <w:t xml:space="preserve"> </w:t>
      </w:r>
      <w:r>
        <w:rPr>
          <w:i/>
          <w:iCs/>
        </w:rPr>
        <w:t xml:space="preserve">by domain</w:t>
      </w:r>
      <w:r>
        <w:t xml:space="preserve"> </w:t>
      </w:r>
      <w:r>
        <w:t xml:space="preserve">cannot do so on this.</w:t>
      </w:r>
      <w:r>
        <w:t xml:space="preserve"> </w:t>
      </w:r>
      <w:r>
        <w:rPr>
          <w:b/>
          <w:bCs/>
        </w:rPr>
        <w:t xml:space="preserve">This is a data-quality problem, not an architectural one</w:t>
      </w:r>
      <w:r>
        <w:t xml:space="preserve"> </w:t>
      </w:r>
      <w:r>
        <w:t xml:space="preserve">— it is fixed by a canonical taxonomy plus a one-off normalization migration</w:t>
      </w:r>
      <w:r>
        <w:t xml:space="preserve"> </w:t>
      </w:r>
      <w:r>
        <w:t xml:space="preserve">(§07), and it does not implicate the storage design.</w:t>
      </w:r>
    </w:p>
    <w:bookmarkEnd w:id="10"/>
    <w:bookmarkStart w:id="14" w:name="X1abe13690f6d16bc319b5d865fbd1e98ed760f7"/>
    <w:p>
      <w:pPr>
        <w:pStyle w:val="Heading2"/>
      </w:pPr>
      <w:r>
        <w:t xml:space="preserve">2. Relational layer — tables in the same instance</w:t>
      </w:r>
    </w:p>
    <w:p>
      <w:pPr>
        <w:pStyle w:val="FirstParagraph"/>
      </w:pPr>
      <w:r>
        <w:t xml:space="preserve">The relational tables already capture</w:t>
      </w:r>
      <w:r>
        <w:t xml:space="preserve"> </w:t>
      </w:r>
      <w:r>
        <w:rPr>
          <w:i/>
          <w:iCs/>
        </w:rPr>
        <w:t xml:space="preserve">model outputs and market snapshots</w:t>
      </w:r>
      <w:r>
        <w:t xml:space="preserve">:</w:t>
      </w:r>
    </w:p>
    <w:p>
      <w:pPr>
        <w:pStyle w:val="CaptionedFigure"/>
      </w:pPr>
      <w:r>
        <w:drawing>
          <wp:inline>
            <wp:extent cx="5334000" cy="1721303"/>
            <wp:effectExtent b="0" l="0" r="0" t="0"/>
            <wp:docPr descr="diagram" title="" id="12" name="Picture"/>
            <a:graphic>
              <a:graphicData uri="http://schemas.openxmlformats.org/drawingml/2006/picture">
                <pic:pic>
                  <pic:nvPicPr>
                    <pic:cNvPr descr="./03-data-layer-audit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21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BodyText"/>
      </w:pPr>
      <w:r>
        <w:rPr>
          <w:b/>
          <w:bCs/>
        </w:rPr>
        <w:t xml:space="preserve">What is present:</w:t>
      </w:r>
      <w:r>
        <w:t xml:space="preserve"> </w:t>
      </w:r>
      <w:r>
        <w:rPr>
          <w:rStyle w:val="VerbatimChar"/>
        </w:rPr>
        <w:t xml:space="preserve">fv_runs</w:t>
      </w:r>
      <w:r>
        <w:t xml:space="preserve"> </w:t>
      </w:r>
      <w:r>
        <w:t xml:space="preserve">(fair-value model runs),</w:t>
      </w:r>
      <w:r>
        <w:t xml:space="preserve"> </w:t>
      </w:r>
      <w:r>
        <w:rPr>
          <w:rStyle w:val="VerbatimChar"/>
        </w:rPr>
        <w:t xml:space="preserve">divergence_signals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regime_history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curve_snapshots</w:t>
      </w:r>
      <w:r>
        <w:t xml:space="preserve">,</w:t>
      </w:r>
      <w:r>
        <w:t xml:space="preserve"> </w:t>
      </w:r>
      <w:r>
        <w:rPr>
          <w:rStyle w:val="VerbatimChar"/>
        </w:rPr>
        <w:t xml:space="preserve">spread_snapshots</w:t>
      </w:r>
      <w:r>
        <w:t xml:space="preserve">,</w:t>
      </w:r>
      <w:r>
        <w:t xml:space="preserve"> </w:t>
      </w:r>
      <w:r>
        <w:rPr>
          <w:rStyle w:val="VerbatimChar"/>
        </w:rPr>
        <w:t xml:space="preserve">macro_events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world_state_snapshots</w:t>
      </w:r>
      <w:r>
        <w:t xml:space="preserve">,</w:t>
      </w:r>
      <w:r>
        <w:t xml:space="preserve"> </w:t>
      </w:r>
      <w:r>
        <w:rPr>
          <w:rStyle w:val="VerbatimChar"/>
        </w:rPr>
        <w:t xml:space="preserve">equity_fundamentals</w:t>
      </w:r>
      <w:r>
        <w:t xml:space="preserve">,</w:t>
      </w:r>
      <w:r>
        <w:t xml:space="preserve"> </w:t>
      </w:r>
      <w:r>
        <w:rPr>
          <w:rStyle w:val="VerbatimChar"/>
        </w:rPr>
        <w:t xml:space="preserve">kalshi_orderbook_snapshots</w:t>
      </w:r>
      <w:r>
        <w:t xml:space="preserve">,</w:t>
      </w:r>
      <w:r>
        <w:t xml:space="preserve"> </w:t>
      </w:r>
      <w:r>
        <w:rPr>
          <w:rStyle w:val="VerbatimChar"/>
        </w:rPr>
        <w:t xml:space="preserve">kalshi_perp_snapshots</w:t>
      </w:r>
      <w:r>
        <w:t xml:space="preserve">,</w:t>
      </w:r>
      <w:r>
        <w:t xml:space="preserve"> </w:t>
      </w:r>
      <w:r>
        <w:rPr>
          <w:rStyle w:val="VerbatimChar"/>
        </w:rPr>
        <w:t xml:space="preserve">sovereign_cds</w:t>
      </w:r>
      <w:r>
        <w:t xml:space="preserve">. This is genuinely useful — the platform</w:t>
      </w:r>
      <w:r>
        <w:t xml:space="preserve"> </w:t>
      </w:r>
      <w:r>
        <w:t xml:space="preserve">already stores</w:t>
      </w:r>
      <w:r>
        <w:t xml:space="preserve"> </w:t>
      </w:r>
      <w:r>
        <w:rPr>
          <w:i/>
          <w:iCs/>
        </w:rPr>
        <w:t xml:space="preserve">what models produced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defect — no model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config</w:t>
      </w:r>
      <w:r>
        <w:rPr>
          <w:b/>
          <w:bCs/>
        </w:rPr>
        <w:t xml:space="preserve">.</w:t>
      </w:r>
      <w:r>
        <w:t xml:space="preserve"> </w:t>
      </w:r>
      <w:r>
        <w:t xml:space="preserve">There is no store of model</w:t>
      </w:r>
      <w:r>
        <w:t xml:space="preserve"> </w:t>
      </w:r>
      <w:r>
        <w:rPr>
          <w:i/>
          <w:iCs/>
        </w:rPr>
        <w:t xml:space="preserve">specifications</w:t>
      </w:r>
      <w:r>
        <w:t xml:space="preserve">:</w:t>
      </w:r>
      <w:r>
        <w:t xml:space="preserve"> </w:t>
      </w:r>
      <w:r>
        <w:t xml:space="preserve">which model, its parameters, its input mapping, its assumptions, the</w:t>
      </w:r>
      <w:r>
        <w:t xml:space="preserve"> </w:t>
      </w:r>
      <w:r>
        <w:t xml:space="preserve">decision it informs. That knowledge lives implicitly in</w:t>
      </w:r>
      <w:r>
        <w:t xml:space="preserve"> </w:t>
      </w:r>
      <w:r>
        <w:rPr>
          <w:rStyle w:val="VerbatimChar"/>
        </w:rPr>
        <w:t xml:space="preserve">analysis/</w:t>
      </w:r>
      <w:r>
        <w:t xml:space="preserve"> </w:t>
      </w:r>
      <w:r>
        <w:t xml:space="preserve">code and in</w:t>
      </w:r>
      <w:r>
        <w:t xml:space="preserve"> </w:t>
      </w:r>
      <w:r>
        <w:t xml:space="preserve">YAML.</w:t>
      </w:r>
      <w:r>
        <w:t xml:space="preserve"> </w:t>
      </w:r>
      <w:r>
        <w:rPr>
          <w:rStyle w:val="VerbatimChar"/>
        </w:rPr>
        <w:t xml:space="preserve">fv_runs</w:t>
      </w:r>
      <w:r>
        <w:t xml:space="preserve"> </w:t>
      </w:r>
      <w:r>
        <w:t xml:space="preserve">is a promising precedent (a generic model-run table), but it is</w:t>
      </w:r>
      <w:r>
        <w:t xml:space="preserve"> </w:t>
      </w:r>
      <w:r>
        <w:t xml:space="preserve">fair-value-specific.</w:t>
      </w:r>
      <w:r>
        <w:t xml:space="preserve"> </w:t>
      </w:r>
      <w:r>
        <w:rPr>
          <w:b/>
          <w:bCs/>
        </w:rPr>
        <w:t xml:space="preserve">Gap:</w:t>
      </w:r>
      <w:r>
        <w:t xml:space="preserve"> </w:t>
      </w:r>
      <w:r>
        <w:t xml:space="preserve">a generic</w:t>
      </w:r>
      <w:r>
        <w:t xml:space="preserve"> </w:t>
      </w:r>
      <w:r>
        <w:rPr>
          <w:rStyle w:val="VerbatimChar"/>
        </w:rPr>
        <w:t xml:space="preserve">model_config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model_run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model_output_point</w:t>
      </w:r>
      <w:r>
        <w:t xml:space="preserve"> </w:t>
      </w:r>
      <w:r>
        <w:t xml:space="preserve">schema (§07), a modest extension of a pattern that already</w:t>
      </w:r>
      <w:r>
        <w:t xml:space="preserve"> </w:t>
      </w:r>
      <w:r>
        <w:t xml:space="preserve">exists.</w:t>
      </w:r>
    </w:p>
    <w:bookmarkEnd w:id="14"/>
    <w:bookmarkStart w:id="18" w:name="graph-layer-neo4j"/>
    <w:p>
      <w:pPr>
        <w:pStyle w:val="Heading2"/>
      </w:pPr>
      <w:r>
        <w:t xml:space="preserve">3. Graph layer — Neo4j</w:t>
      </w:r>
    </w:p>
    <w:p>
      <w:pPr>
        <w:pStyle w:val="FirstParagraph"/>
      </w:pPr>
      <w:r>
        <w:rPr>
          <w:b/>
          <w:bCs/>
        </w:rPr>
        <w:t xml:space="preserve">Node labels (top):</w:t>
      </w:r>
      <w:r>
        <w:t xml:space="preserve"> </w:t>
      </w:r>
      <w:r>
        <w:rPr>
          <w:rStyle w:val="VerbatimChar"/>
        </w:rPr>
        <w:t xml:space="preserve">Indicator</w:t>
      </w:r>
      <w:r>
        <w:t xml:space="preserve"> </w:t>
      </w:r>
      <w:r>
        <w:t xml:space="preserve">603,</w:t>
      </w:r>
      <w:r>
        <w:t xml:space="preserve"> </w:t>
      </w:r>
      <w:r>
        <w:rPr>
          <w:rStyle w:val="VerbatimChar"/>
        </w:rPr>
        <w:t xml:space="preserve">RenderFeedback</w:t>
      </w:r>
      <w:r>
        <w:t xml:space="preserve"> </w:t>
      </w:r>
      <w:r>
        <w:t xml:space="preserve">501,</w:t>
      </w:r>
      <w:r>
        <w:t xml:space="preserve"> </w:t>
      </w:r>
      <w:r>
        <w:rPr>
          <w:rStyle w:val="VerbatimChar"/>
        </w:rPr>
        <w:t xml:space="preserve">Memory</w:t>
      </w:r>
      <w:r>
        <w:t xml:space="preserve"> </w:t>
      </w:r>
      <w:r>
        <w:t xml:space="preserve">414,</w:t>
      </w:r>
      <w:r>
        <w:t xml:space="preserve"> </w:t>
      </w:r>
      <w:r>
        <w:rPr>
          <w:rStyle w:val="VerbatimChar"/>
        </w:rPr>
        <w:t xml:space="preserve">DataSeries</w:t>
      </w:r>
      <w:r>
        <w:t xml:space="preserve"> </w:t>
      </w:r>
      <w:r>
        <w:t xml:space="preserve">262,</w:t>
      </w:r>
      <w:r>
        <w:t xml:space="preserve"> </w:t>
      </w:r>
      <w:r>
        <w:rPr>
          <w:rStyle w:val="VerbatimChar"/>
        </w:rPr>
        <w:t xml:space="preserve">Stock</w:t>
      </w:r>
      <w:r>
        <w:t xml:space="preserve"> </w:t>
      </w:r>
      <w:r>
        <w:t xml:space="preserve">113,</w:t>
      </w:r>
      <w:r>
        <w:t xml:space="preserve"> </w:t>
      </w:r>
      <w:r>
        <w:rPr>
          <w:rStyle w:val="VerbatimChar"/>
        </w:rPr>
        <w:t xml:space="preserve">DeribitExpiry</w:t>
      </w:r>
      <w:r>
        <w:t xml:space="preserve"> </w:t>
      </w:r>
      <w:r>
        <w:t xml:space="preserve">104,</w:t>
      </w:r>
      <w:r>
        <w:t xml:space="preserve"> </w:t>
      </w:r>
      <w:r>
        <w:rPr>
          <w:rStyle w:val="VerbatimChar"/>
        </w:rPr>
        <w:t xml:space="preserve">EditorialCriterion</w:t>
      </w:r>
      <w:r>
        <w:t xml:space="preserve"> </w:t>
      </w:r>
      <w:r>
        <w:t xml:space="preserve">90,</w:t>
      </w:r>
      <w:r>
        <w:t xml:space="preserve"> </w:t>
      </w:r>
      <w:r>
        <w:rPr>
          <w:rStyle w:val="VerbatimChar"/>
        </w:rPr>
        <w:t xml:space="preserve">ChartTemplate</w:t>
      </w:r>
      <w:r>
        <w:t xml:space="preserve"> </w:t>
      </w:r>
      <w:r>
        <w:t xml:space="preserve">85,</w:t>
      </w:r>
      <w:r>
        <w:t xml:space="preserve"> </w:t>
      </w:r>
      <w:r>
        <w:rPr>
          <w:rStyle w:val="VerbatimChar"/>
        </w:rPr>
        <w:t xml:space="preserve">KalshiEvent</w:t>
      </w:r>
      <w:r>
        <w:t xml:space="preserve"> </w:t>
      </w:r>
      <w:r>
        <w:t xml:space="preserve">74,</w:t>
      </w:r>
      <w:r>
        <w:t xml:space="preserve"> </w:t>
      </w:r>
      <w:r>
        <w:rPr>
          <w:rStyle w:val="VerbatimChar"/>
        </w:rPr>
        <w:t xml:space="preserve">FactSpec</w:t>
      </w:r>
      <w:r>
        <w:t xml:space="preserve"> </w:t>
      </w:r>
      <w:r>
        <w:t xml:space="preserve">60,</w:t>
      </w:r>
      <w:r>
        <w:t xml:space="preserve"> </w:t>
      </w:r>
      <w:r>
        <w:rPr>
          <w:rStyle w:val="VerbatimChar"/>
        </w:rPr>
        <w:t xml:space="preserve">ArticleType</w:t>
      </w:r>
      <w:r>
        <w:t xml:space="preserve"> </w:t>
      </w:r>
      <w:r>
        <w:t xml:space="preserve">38,</w:t>
      </w:r>
      <w:r>
        <w:t xml:space="preserve"> </w:t>
      </w:r>
      <w:r>
        <w:rPr>
          <w:rStyle w:val="VerbatimChar"/>
        </w:rPr>
        <w:t xml:space="preserve">EventType</w:t>
      </w:r>
      <w:r>
        <w:t xml:space="preserve"> </w:t>
      </w:r>
      <w:r>
        <w:t xml:space="preserve">37, …</w:t>
      </w:r>
      <w:r>
        <w:t xml:space="preserve"> </w:t>
      </w:r>
      <w:r>
        <w:rPr>
          <w:rStyle w:val="VerbatimChar"/>
        </w:rPr>
        <w:t xml:space="preserve">Theory</w:t>
      </w:r>
      <w:r>
        <w:t xml:space="preserve"> </w:t>
      </w:r>
      <w:r>
        <w:t xml:space="preserve">12,</w:t>
      </w:r>
      <w:r>
        <w:t xml:space="preserve"> </w:t>
      </w:r>
      <w:r>
        <w:rPr>
          <w:rStyle w:val="VerbatimChar"/>
        </w:rPr>
        <w:t xml:space="preserve">CentralBank</w:t>
      </w:r>
      <w:r>
        <w:t xml:space="preserve"> </w:t>
      </w:r>
      <w:r>
        <w:t xml:space="preserve">2.</w:t>
      </w:r>
    </w:p>
    <w:p>
      <w:pPr>
        <w:pStyle w:val="BodyText"/>
      </w:pPr>
      <w:r>
        <w:rPr>
          <w:b/>
          <w:bCs/>
        </w:rPr>
        <w:t xml:space="preserve">Relationship types (top):</w:t>
      </w:r>
      <w:r>
        <w:t xml:space="preserve"> </w:t>
      </w:r>
      <w:r>
        <w:rPr>
          <w:rStyle w:val="VerbatimChar"/>
        </w:rPr>
        <w:t xml:space="preserve">RELEVANT_FOR</w:t>
      </w:r>
      <w:r>
        <w:t xml:space="preserve"> </w:t>
      </w:r>
      <w:r>
        <w:t xml:space="preserve">2,906,</w:t>
      </w:r>
      <w:r>
        <w:t xml:space="preserve"> </w:t>
      </w:r>
      <w:r>
        <w:rPr>
          <w:rStyle w:val="VerbatimChar"/>
        </w:rPr>
        <w:t xml:space="preserve">SUPPLIES</w:t>
      </w:r>
      <w:r>
        <w:t xml:space="preserve"> </w:t>
      </w:r>
      <w:r>
        <w:t xml:space="preserve">263,</w:t>
      </w:r>
      <w:r>
        <w:t xml:space="preserve"> </w:t>
      </w:r>
      <w:r>
        <w:rPr>
          <w:rStyle w:val="VerbatimChar"/>
        </w:rPr>
        <w:t xml:space="preserve">SENSITIVE_TO</w:t>
      </w:r>
      <w:r>
        <w:t xml:space="preserve"> </w:t>
      </w:r>
      <w:r>
        <w:t xml:space="preserve">192,</w:t>
      </w:r>
      <w:r>
        <w:t xml:space="preserve"> </w:t>
      </w:r>
      <w:r>
        <w:rPr>
          <w:rStyle w:val="VerbatimChar"/>
        </w:rPr>
        <w:t xml:space="preserve">USED_BY_MODEL</w:t>
      </w:r>
      <w:r>
        <w:t xml:space="preserve"> </w:t>
      </w:r>
      <w:r>
        <w:t xml:space="preserve">111,</w:t>
      </w:r>
      <w:r>
        <w:t xml:space="preserve"> </w:t>
      </w:r>
      <w:r>
        <w:rPr>
          <w:rStyle w:val="VerbatimChar"/>
        </w:rPr>
        <w:t xml:space="preserve">TRANSMITS_TO</w:t>
      </w:r>
      <w:r>
        <w:t xml:space="preserve"> </w:t>
      </w:r>
      <w:r>
        <w:t xml:space="preserve">21,</w:t>
      </w:r>
      <w:r>
        <w:t xml:space="preserve"> </w:t>
      </w:r>
      <w:r>
        <w:rPr>
          <w:rStyle w:val="VerbatimChar"/>
        </w:rPr>
        <w:t xml:space="preserve">RESPONDS_TO</w:t>
      </w:r>
      <w:r>
        <w:t xml:space="preserve"> </w:t>
      </w:r>
      <w:r>
        <w:t xml:space="preserve">44,</w:t>
      </w:r>
      <w:r>
        <w:t xml:space="preserve"> </w:t>
      </w:r>
      <w:r>
        <w:rPr>
          <w:rStyle w:val="VerbatimChar"/>
        </w:rPr>
        <w:t xml:space="preserve">CORRELATES_WITH</w:t>
      </w:r>
      <w:r>
        <w:t xml:space="preserve"> </w:t>
      </w:r>
      <w:r>
        <w:t xml:space="preserve">10,</w:t>
      </w:r>
      <w:r>
        <w:t xml:space="preserve"> </w:t>
      </w:r>
      <w:r>
        <w:rPr>
          <w:rStyle w:val="VerbatimChar"/>
        </w:rPr>
        <w:t xml:space="preserve">INFORMS</w:t>
      </w:r>
      <w:r>
        <w:t xml:space="preserve"> </w:t>
      </w:r>
      <w:r>
        <w:t xml:space="preserve">6,</w:t>
      </w:r>
      <w:r>
        <w:t xml:space="preserve"> </w:t>
      </w:r>
      <w:r>
        <w:rPr>
          <w:rStyle w:val="VerbatimChar"/>
        </w:rPr>
        <w:t xml:space="preserve">INFLUENCES</w:t>
      </w:r>
      <w:r>
        <w:t xml:space="preserve"> </w:t>
      </w:r>
      <w:r>
        <w:t xml:space="preserve">1, …</w:t>
      </w:r>
    </w:p>
    <w:p>
      <w:pPr>
        <w:pStyle w:val="CaptionedFigure"/>
      </w:pPr>
      <w:r>
        <w:drawing>
          <wp:inline>
            <wp:extent cx="5334000" cy="10819889"/>
            <wp:effectExtent b="0" l="0" r="0" t="0"/>
            <wp:docPr descr="diagram" title="" id="16" name="Picture"/>
            <a:graphic>
              <a:graphicData uri="http://schemas.openxmlformats.org/drawingml/2006/picture">
                <pic:pic>
                  <pic:nvPicPr>
                    <pic:cNvPr descr="./03-data-layer-audit-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19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BodyText"/>
      </w:pPr>
      <w:r>
        <w:rPr>
          <w:b/>
          <w:bCs/>
        </w:rPr>
        <w:t xml:space="preserve">What is present:</w:t>
      </w:r>
      <w:r>
        <w:t xml:space="preserve"> </w:t>
      </w:r>
      <w:r>
        <w:t xml:space="preserve">a genuinely rich</w:t>
      </w:r>
      <w:r>
        <w:t xml:space="preserve"> </w:t>
      </w:r>
      <w:r>
        <w:rPr>
          <w:i/>
          <w:iCs/>
        </w:rPr>
        <w:t xml:space="preserve">indicator relationship</w:t>
      </w:r>
      <w:r>
        <w:t xml:space="preserve"> </w:t>
      </w:r>
      <w:r>
        <w:t xml:space="preserve">graph — the</w:t>
      </w:r>
      <w:r>
        <w:t xml:space="preserve"> </w:t>
      </w:r>
      <w:r>
        <w:t xml:space="preserve">economic substrate (transmission channels with lag/strength, sensitivities,</w:t>
      </w:r>
      <w:r>
        <w:t xml:space="preserve"> </w:t>
      </w:r>
      <w:r>
        <w:t xml:space="preserve">correlations, lead-lag). This is valuable and reusable.</w:t>
      </w:r>
    </w:p>
    <w:p>
      <w:pPr>
        <w:pStyle w:val="BodyText"/>
      </w:pPr>
      <w:r>
        <w:rPr>
          <w:b/>
          <w:bCs/>
        </w:rPr>
        <w:t xml:space="preserve">The defect — the model spine does not exist.</w:t>
      </w:r>
      <w:r>
        <w:t xml:space="preserve"> </w:t>
      </w:r>
      <w:r>
        <w:t xml:space="preserve">A live query for any node whose</w:t>
      </w:r>
      <w:r>
        <w:t xml:space="preserve"> </w:t>
      </w:r>
      <w:r>
        <w:t xml:space="preserve">label contains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decision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persona</w:t>
      </w:r>
      <w:r>
        <w:t xml:space="preserve">, or</w:t>
      </w:r>
      <w:r>
        <w:t xml:space="preserve"> </w:t>
      </w:r>
      <w:r>
        <w:rPr>
          <w:rStyle w:val="VerbatimChar"/>
        </w:rPr>
        <w:t xml:space="preserve">equation</w:t>
      </w:r>
      <w:r>
        <w:t xml:space="preserve"> </w:t>
      </w:r>
      <w:r>
        <w:t xml:space="preserve">returned</w:t>
      </w:r>
      <w:r>
        <w:t xml:space="preserve"> </w:t>
      </w:r>
      <w:r>
        <w:rPr>
          <w:b/>
          <w:bCs/>
        </w:rPr>
        <w:t xml:space="preserve">nothing</w:t>
      </w:r>
      <w:r>
        <w:t xml:space="preserve">.</w:t>
      </w:r>
      <w:r>
        <w:t xml:space="preserve"> </w:t>
      </w:r>
      <w:r>
        <w:t xml:space="preserve">There is a</w:t>
      </w:r>
      <w:r>
        <w:t xml:space="preserve"> </w:t>
      </w:r>
      <w:r>
        <w:rPr>
          <w:rStyle w:val="VerbatimChar"/>
        </w:rPr>
        <w:t xml:space="preserve">USED_BY_MODEL</w:t>
      </w:r>
      <w:r>
        <w:t xml:space="preserve"> </w:t>
      </w:r>
      <w:r>
        <w:t xml:space="preserve">edge type (111 instances) and 12</w:t>
      </w:r>
      <w:r>
        <w:t xml:space="preserve"> </w:t>
      </w:r>
      <w:r>
        <w:rPr>
          <w:rStyle w:val="VerbatimChar"/>
        </w:rPr>
        <w:t xml:space="preserve">Theory</w:t>
      </w:r>
      <w:r>
        <w:t xml:space="preserve"> </w:t>
      </w:r>
      <w:r>
        <w:t xml:space="preserve">nodes — the</w:t>
      </w:r>
      <w:r>
        <w:t xml:space="preserve"> </w:t>
      </w:r>
      <w:r>
        <w:rPr>
          <w:i/>
          <w:iCs/>
        </w:rPr>
        <w:t xml:space="preserve">intent</w:t>
      </w:r>
      <w:r>
        <w:t xml:space="preserve"> </w:t>
      </w:r>
      <w:r>
        <w:t xml:space="preserve">to model was there — but no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ModelSpecification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ModelEquation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ModelInput</w:t>
      </w:r>
      <w:r>
        <w:t xml:space="preserve">,</w:t>
      </w:r>
      <w:r>
        <w:t xml:space="preserve"> </w:t>
      </w:r>
      <w:r>
        <w:rPr>
          <w:rStyle w:val="VerbatimChar"/>
        </w:rPr>
        <w:t xml:space="preserve">DecisionMaker</w:t>
      </w:r>
      <w:r>
        <w:t xml:space="preserve">, or</w:t>
      </w:r>
      <w:r>
        <w:t xml:space="preserve"> </w:t>
      </w:r>
      <w:r>
        <w:rPr>
          <w:rStyle w:val="VerbatimChar"/>
        </w:rPr>
        <w:t xml:space="preserve">Decision</w:t>
      </w:r>
      <w:r>
        <w:t xml:space="preserve"> </w:t>
      </w:r>
      <w:r>
        <w:t xml:space="preserve">nodes.</w:t>
      </w:r>
      <w:r>
        <w:t xml:space="preserve"> </w:t>
      </w:r>
      <w:r>
        <w:rPr>
          <w:b/>
          <w:bCs/>
        </w:rPr>
        <w:t xml:space="preserve">The entire</w:t>
      </w:r>
      <w:r>
        <w:rPr>
          <w:b/>
          <w:bCs/>
        </w:rPr>
        <w:t xml:space="preserve"> </w:t>
      </w:r>
      <w:r>
        <w:rPr>
          <w:b/>
          <w:bCs/>
        </w:rPr>
        <w:t xml:space="preserve">catalog the vision runs on is absent from the graph.</w:t>
      </w:r>
    </w:p>
    <w:bookmarkEnd w:id="18"/>
    <w:bookmarkStart w:id="19" w:name="X25c504a0646c5ef1a2bf01a8c6ab4a1c4690dad"/>
    <w:p>
      <w:pPr>
        <w:pStyle w:val="Heading2"/>
      </w:pPr>
      <w:r>
        <w:t xml:space="preserve">What the audit proves for the recommendation</w:t>
      </w:r>
    </w:p>
    <w:p>
      <w:pPr>
        <w:pStyle w:val="Compact"/>
        <w:numPr>
          <w:ilvl w:val="0"/>
          <w:numId w:val="1002"/>
        </w:numPr>
      </w:pPr>
      <w:r>
        <w:t xml:space="preserve">The data platform holds the</w:t>
      </w:r>
      <w:r>
        <w:t xml:space="preserve"> </w:t>
      </w:r>
      <w:r>
        <w:rPr>
          <w:i/>
          <w:iCs/>
        </w:rPr>
        <w:t xml:space="preserve">raw material</w:t>
      </w:r>
      <w:r>
        <w:t xml:space="preserve"> </w:t>
      </w:r>
      <w:r>
        <w:t xml:space="preserve">— broad data, real models,</w:t>
      </w:r>
      <w:r>
        <w:t xml:space="preserve"> </w:t>
      </w:r>
      <w:r>
        <w:t xml:space="preserve">relationship ontology.</w:t>
      </w:r>
    </w:p>
    <w:p>
      <w:pPr>
        <w:pStyle w:val="Compact"/>
        <w:numPr>
          <w:ilvl w:val="0"/>
          <w:numId w:val="1002"/>
        </w:numPr>
      </w:pPr>
      <w:r>
        <w:t xml:space="preserve">Its gaps are</w:t>
      </w:r>
      <w:r>
        <w:t xml:space="preserve"> </w:t>
      </w:r>
      <w:r>
        <w:rPr>
          <w:b/>
          <w:bCs/>
        </w:rPr>
        <w:t xml:space="preserve">additive and bounded</w:t>
      </w:r>
      <w:r>
        <w:t xml:space="preserve">: normalize a taxonomy, add a config</w:t>
      </w:r>
      <w:r>
        <w:t xml:space="preserve"> </w:t>
      </w:r>
      <w:r>
        <w:t xml:space="preserve">store, seed a model spine (§07). None require re-architecting UMD.</w:t>
      </w:r>
    </w:p>
    <w:p>
      <w:pPr>
        <w:pStyle w:val="Compact"/>
        <w:numPr>
          <w:ilvl w:val="0"/>
          <w:numId w:val="1002"/>
        </w:numPr>
      </w:pPr>
      <w:r>
        <w:t xml:space="preserve">The single largest gap — the missing model spine — is exactly the piece the</w:t>
      </w:r>
      <w:r>
        <w:t xml:space="preserve"> </w:t>
      </w:r>
      <w:r>
        <w:rPr>
          <w:i/>
          <w:iCs/>
        </w:rPr>
        <w:t xml:space="preserve">application’s</w:t>
      </w:r>
      <w:r>
        <w:t xml:space="preserve"> </w:t>
      </w:r>
      <w:r>
        <w:t xml:space="preserve">vision depends on, and its absence is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the app can only</w:t>
      </w:r>
      <w:r>
        <w:t xml:space="preserve"> </w:t>
      </w:r>
      <w:r>
        <w:t xml:space="preserve">plot raw series. Fixing it is data-layer work that unblocks a new app; it is</w:t>
      </w:r>
      <w:r>
        <w:t xml:space="preserve"> </w:t>
      </w:r>
      <w:r>
        <w:t xml:space="preserve">not app work.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Lucidate / Horizon Assessment</dc:title>
  <dc:creator/>
  <cp:keywords/>
  <dcterms:created xsi:type="dcterms:W3CDTF">2026-07-10T10:58:47Z</dcterms:created>
  <dcterms:modified xsi:type="dcterms:W3CDTF">2026-07-10T10:58:47Z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