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Lucidate / Horizon Assessment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Xccd25fd341cf96aa9f697379c18bc0f6a96b81e"/>
    <w:p>
      <w:pPr>
        <w:pStyle w:val="Heading1"/>
      </w:pPr>
      <w:r>
        <w:t xml:space="preserve">04 — Failure Post-Mortem: what went horribly wrong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t xml:space="preserve">“learning template”</w:t>
      </w:r>
      <w:r>
        <w:t xml:space="preserve"> </w:t>
      </w:r>
      <w:r>
        <w:t xml:space="preserve">section. It is written plainly because its value</w:t>
      </w:r>
      <w:r>
        <w:t xml:space="preserve"> </w:t>
      </w:r>
      <w:r>
        <w:t xml:space="preserve">is only as high as its honesty. Each failure mode is named, evidenced from this</w:t>
      </w:r>
      <w:r>
        <w:t xml:space="preserve"> </w:t>
      </w:r>
      <w:r>
        <w:t xml:space="preserve">project, and traced to a root cause that a new project must design against.</w:t>
      </w:r>
    </w:p>
    <w:bookmarkStart w:id="12" w:name="X69b9e2031111fd1a6b50044c83ae8447e46127a"/>
    <w:p>
      <w:pPr>
        <w:pStyle w:val="Heading2"/>
      </w:pPr>
      <w:r>
        <w:t xml:space="preserve">The meta-failure: process reported as product</w:t>
      </w:r>
    </w:p>
    <w:p>
      <w:pPr>
        <w:pStyle w:val="FirstParagraph"/>
      </w:pPr>
      <w:r>
        <w:t xml:space="preserve">The defining failure is not any one bug. It is that</w:t>
      </w:r>
      <w:r>
        <w:t xml:space="preserve"> </w:t>
      </w:r>
      <w:r>
        <w:rPr>
          <w:b/>
          <w:bCs/>
        </w:rPr>
        <w:t xml:space="preserve">success was repeatedly</w:t>
      </w:r>
      <w:r>
        <w:rPr>
          <w:b/>
          <w:bCs/>
        </w:rPr>
        <w:t xml:space="preserve"> </w:t>
      </w:r>
      <w:r>
        <w:rPr>
          <w:b/>
          <w:bCs/>
        </w:rPr>
        <w:t xml:space="preserve">declared on the basis of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process completion</w:t>
      </w:r>
      <w:r>
        <w:rPr>
          <w:b/>
          <w:bCs/>
        </w:rPr>
        <w:t xml:space="preserve"> </w:t>
      </w:r>
      <w:r>
        <w:rPr>
          <w:b/>
          <w:bCs/>
        </w:rPr>
        <w:t xml:space="preserve">—</w:t>
      </w:r>
      <w:r>
        <w:rPr>
          <w:b/>
          <w:bCs/>
        </w:rPr>
        <w:t xml:space="preserve"> </w:t>
      </w:r>
      <w:r>
        <w:rPr>
          <w:b/>
          <w:bCs/>
        </w:rPr>
        <w:t xml:space="preserve">“the pipeline ran, the gates</w:t>
      </w:r>
      <w:r>
        <w:rPr>
          <w:b/>
          <w:bCs/>
        </w:rPr>
        <w:t xml:space="preserve"> </w:t>
      </w:r>
      <w:r>
        <w:rPr>
          <w:b/>
          <w:bCs/>
        </w:rPr>
        <w:t xml:space="preserve">passed, the article exported”</w:t>
      </w:r>
      <w:r>
        <w:rPr>
          <w:b/>
          <w:bCs/>
        </w:rPr>
        <w:t xml:space="preserve"> </w:t>
      </w:r>
      <w:r>
        <w:rPr>
          <w:b/>
          <w:bCs/>
        </w:rPr>
        <w:t xml:space="preserve">— while the actual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product</w:t>
      </w:r>
      <w:r>
        <w:rPr>
          <w:b/>
          <w:bCs/>
        </w:rPr>
        <w:t xml:space="preserve"> </w:t>
      </w:r>
      <w:r>
        <w:rPr>
          <w:b/>
          <w:bCs/>
        </w:rPr>
        <w:t xml:space="preserve">was poor or broken, and</w:t>
      </w:r>
      <w:r>
        <w:rPr>
          <w:b/>
          <w:bCs/>
        </w:rPr>
        <w:t xml:space="preserve"> </w:t>
      </w:r>
      <w:r>
        <w:rPr>
          <w:b/>
          <w:bCs/>
        </w:rPr>
        <w:t xml:space="preserve">nobody had looked.</w:t>
      </w:r>
    </w:p>
    <w:p>
      <w:pPr>
        <w:pStyle w:val="BodyText"/>
      </w:pPr>
      <w:r>
        <w:t xml:space="preserve">The clearest evidence is self-incriminating. In this project’s own history:</w:t>
      </w:r>
    </w:p>
    <w:p>
      <w:pPr>
        <w:pStyle w:val="Compact"/>
        <w:numPr>
          <w:ilvl w:val="0"/>
          <w:numId w:val="1001"/>
        </w:numPr>
      </w:pPr>
      <w:r>
        <w:t xml:space="preserve">A batch of five articles was reported as</w:t>
      </w:r>
      <w:r>
        <w:t xml:space="preserve"> </w:t>
      </w:r>
      <w:r>
        <w:rPr>
          <w:i/>
          <w:iCs/>
        </w:rPr>
        <w:t xml:space="preserve">“shipped clean — all gates cleared,</w:t>
      </w:r>
      <w:r>
        <w:rPr>
          <w:i/>
          <w:iCs/>
        </w:rPr>
        <w:t xml:space="preserve"> </w:t>
      </w:r>
      <w:r>
        <w:rPr>
          <w:i/>
          <w:iCs/>
        </w:rPr>
        <w:t xml:space="preserve">fact-check PASS, exported”</w:t>
      </w:r>
      <w:r>
        <w:t xml:space="preserve"> </w:t>
      </w:r>
      <w:r>
        <w:rPr>
          <w:b/>
          <w:bCs/>
        </w:rPr>
        <w:t xml:space="preserve">before a single chart had been opened and looked</w:t>
      </w:r>
      <w:r>
        <w:rPr>
          <w:b/>
          <w:bCs/>
        </w:rPr>
        <w:t xml:space="preserve"> </w:t>
      </w:r>
      <w:r>
        <w:rPr>
          <w:b/>
          <w:bCs/>
        </w:rPr>
        <w:t xml:space="preserve">at.</w:t>
      </w:r>
      <w:r>
        <w:t xml:space="preserve"> </w:t>
      </w:r>
      <w:r>
        <w:t xml:space="preserve">When the charts were finally viewed, they included a subtitle reading</w:t>
      </w:r>
      <w:r>
        <w:t xml:space="preserve"> </w:t>
      </w:r>
      <w:r>
        <w:rPr>
          <w:i/>
          <w:iCs/>
        </w:rPr>
        <w:t xml:space="preserve">“Kalshi-implied rate 0.0956; Fed upper bound 1.8272”</w:t>
      </w:r>
      <w:r>
        <w:t xml:space="preserve"> </w:t>
      </w:r>
      <w:r>
        <w:t xml:space="preserve">(nonsense values), a data</w:t>
      </w:r>
      <w:r>
        <w:t xml:space="preserve"> </w:t>
      </w:r>
      <w:r>
        <w:t xml:space="preserve">series rendered as an unreadable scribble in the corner of the plot, and a</w:t>
      </w:r>
      <w:r>
        <w:t xml:space="preserve"> </w:t>
      </w:r>
      <w:r>
        <w:t xml:space="preserve">“perp”</w:t>
      </w:r>
      <w:r>
        <w:t xml:space="preserve"> </w:t>
      </w:r>
      <w:r>
        <w:t xml:space="preserve">chart plotting a meaningless contract cent-price.</w:t>
      </w:r>
    </w:p>
    <w:p>
      <w:pPr>
        <w:pStyle w:val="Compact"/>
        <w:numPr>
          <w:ilvl w:val="0"/>
          <w:numId w:val="1001"/>
        </w:numPr>
      </w:pPr>
      <w:r>
        <w:t xml:space="preserve">The single most on-the-nose artifact is a real bug that was found and fixed here: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  <w:b/>
          <w:bCs/>
        </w:rPr>
        <w:t xml:space="preserve">dishonest_validation_panel</w:t>
      </w:r>
      <w:r>
        <w:t xml:space="preserve"> </w:t>
      </w:r>
      <w:r>
        <w:t xml:space="preserve">— an in-article box that printed</w:t>
      </w:r>
      <w:r>
        <w:t xml:space="preserve"> </w:t>
      </w:r>
      <w:r>
        <w:rPr>
          <w:b/>
          <w:bCs/>
        </w:rPr>
        <w:t xml:space="preserve">“✓ All checks passed”</w:t>
      </w:r>
      <w:r>
        <w:t xml:space="preserve"> </w:t>
      </w:r>
      <w:r>
        <w:t xml:space="preserve">while the underlying gate status was FAIL. That box is</w:t>
      </w:r>
      <w:r>
        <w:t xml:space="preserve"> </w:t>
      </w:r>
      <w:r>
        <w:t xml:space="preserve">a perfect portrait of the whole project’s failure mode:</w:t>
      </w:r>
      <w:r>
        <w:t xml:space="preserve"> </w:t>
      </w:r>
      <w:r>
        <w:rPr>
          <w:i/>
          <w:iCs/>
        </w:rPr>
        <w:t xml:space="preserve">green where it should</w:t>
      </w:r>
      <w:r>
        <w:rPr>
          <w:i/>
          <w:iCs/>
        </w:rPr>
        <w:t xml:space="preserve"> </w:t>
      </w:r>
      <w:r>
        <w:rPr>
          <w:i/>
          <w:iCs/>
        </w:rPr>
        <w:t xml:space="preserve">be red.</w:t>
      </w:r>
      <w:r>
        <w:t xml:space="preserve"> </w:t>
      </w:r>
      <w:r>
        <w:t xml:space="preserve">Fixing the box did not fix the behaviour it depicted.</w:t>
      </w:r>
    </w:p>
    <w:p>
      <w:pPr>
        <w:pStyle w:val="FirstParagraph"/>
      </w:pPr>
      <w:r>
        <w:rPr>
          <w:b/>
          <w:bCs/>
        </w:rPr>
        <w:t xml:space="preserve">Root cause:</w:t>
      </w:r>
      <w:r>
        <w:t xml:space="preserve"> </w:t>
      </w:r>
      <w:r>
        <w:t xml:space="preserve">the definition of</w:t>
      </w:r>
      <w:r>
        <w:t xml:space="preserve"> </w:t>
      </w:r>
      <w:r>
        <w:t xml:space="preserve">“done”</w:t>
      </w:r>
      <w:r>
        <w:t xml:space="preserve"> </w:t>
      </w:r>
      <w:r>
        <w:t xml:space="preserve">was</w:t>
      </w:r>
      <w:r>
        <w:t xml:space="preserve"> </w:t>
      </w:r>
      <w:r>
        <w:t xml:space="preserve">“the machine’s gates went green,”</w:t>
      </w:r>
      <w:r>
        <w:t xml:space="preserve"> </w:t>
      </w:r>
      <w:r>
        <w:t xml:space="preserve">not</w:t>
      </w:r>
      <w:r>
        <w:t xml:space="preserve"> </w:t>
      </w:r>
      <w:r>
        <w:t xml:space="preserve">“a human looked at the output and judged it good.”</w:t>
      </w:r>
      <w:r>
        <w:t xml:space="preserve"> </w:t>
      </w:r>
      <w:r>
        <w:t xml:space="preserve">No amount of additional</w:t>
      </w:r>
      <w:r>
        <w:t xml:space="preserve"> </w:t>
      </w:r>
      <w:r>
        <w:t xml:space="preserve">gates fixes this, because the gates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w:r>
        <w:t xml:space="preserve">the flawed proxy.</w:t>
      </w:r>
    </w:p>
    <w:p>
      <w:pPr>
        <w:pStyle w:val="CaptionedFigure"/>
      </w:pPr>
      <w:r>
        <w:drawing>
          <wp:inline>
            <wp:extent cx="5334000" cy="496660"/>
            <wp:effectExtent b="0" l="0" r="0" t="0"/>
            <wp:docPr descr="diagram" title="" id="10" name="Picture"/>
            <a:graphic>
              <a:graphicData uri="http://schemas.openxmlformats.org/drawingml/2006/picture">
                <pic:pic>
                  <pic:nvPicPr>
                    <pic:cNvPr descr="./04-failure-post-mortem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6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End w:id="12"/>
    <w:bookmarkStart w:id="13" w:name="failure-mode-1-no-model-in-the-insight"/>
    <w:p>
      <w:pPr>
        <w:pStyle w:val="Heading2"/>
      </w:pPr>
      <w:r>
        <w:t xml:space="preserve">Failure mode 1 — No model in the</w:t>
      </w:r>
      <w:r>
        <w:t xml:space="preserve"> </w:t>
      </w:r>
      <w:r>
        <w:t xml:space="preserve">“insight”</w:t>
      </w:r>
    </w:p>
    <w:p>
      <w:pPr>
        <w:pStyle w:val="FirstParagraph"/>
      </w:pPr>
      <w:r>
        <w:t xml:space="preserve">The product is meant to be</w:t>
      </w:r>
      <w:r>
        <w:t xml:space="preserve"> </w:t>
      </w:r>
      <w:r>
        <w:rPr>
          <w:i/>
          <w:iCs/>
        </w:rPr>
        <w:t xml:space="preserve">insight</w:t>
      </w:r>
      <w:r>
        <w:t xml:space="preserve"> </w:t>
      </w:r>
      <w:r>
        <w:t xml:space="preserve">— a model’s reading of the data. What the</w:t>
      </w:r>
      <w:r>
        <w:t xml:space="preserve"> </w:t>
      </w:r>
      <w:r>
        <w:t xml:space="preserve">engine actually does is</w:t>
      </w:r>
      <w:r>
        <w:t xml:space="preserve"> </w:t>
      </w:r>
      <w:r>
        <w:rPr>
          <w:b/>
          <w:bCs/>
        </w:rPr>
        <w:t xml:space="preserve">select two series and plot them</w:t>
      </w:r>
      <w:r>
        <w:t xml:space="preserve">. There is no model</w:t>
      </w:r>
      <w:r>
        <w:t xml:space="preserve"> </w:t>
      </w:r>
      <w:r>
        <w:t xml:space="preserve">being run; the</w:t>
      </w:r>
      <w:r>
        <w:t xml:space="preserve"> </w:t>
      </w:r>
      <w:r>
        <w:t xml:space="preserve">“analysis”</w:t>
      </w:r>
      <w:r>
        <w:t xml:space="preserve"> </w:t>
      </w:r>
      <w:r>
        <w:t xml:space="preserve">is a line chart with a shaded gap.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Evidence:</w:t>
      </w:r>
      <w:r>
        <w:t xml:space="preserve"> </w:t>
      </w:r>
      <w:r>
        <w:t xml:space="preserve">the chart planner’s entire vocabulary is four items (</w:t>
      </w:r>
      <w:r>
        <w:t xml:space="preserve">“line”</w:t>
      </w:r>
      <w:r>
        <w:t xml:space="preserve">,</w:t>
      </w:r>
      <w:r>
        <w:t xml:space="preserve"> </w:t>
      </w:r>
      <w:r>
        <w:t xml:space="preserve">“dual_axis”</w:t>
      </w:r>
      <w:r>
        <w:t xml:space="preserve">,</w:t>
      </w:r>
      <w:r>
        <w:t xml:space="preserve"> </w:t>
      </w:r>
      <w:r>
        <w:t xml:space="preserve">“diverging_bar”</w:t>
      </w:r>
      <w:r>
        <w:t xml:space="preserve">,</w:t>
      </w:r>
      <w:r>
        <w:t xml:space="preserve"> </w:t>
      </w:r>
      <w:r>
        <w:t xml:space="preserve">“stacked_area”</w:t>
      </w:r>
      <w:r>
        <w:t xml:space="preserve">); a plan is</w:t>
      </w:r>
      <w:r>
        <w:t xml:space="preserve"> </w:t>
      </w:r>
      <w:r>
        <w:rPr>
          <w:rStyle w:val="VerbatimChar"/>
        </w:rPr>
        <w:t xml:space="preserve">{chart_type, series, one-line title}</w:t>
      </w:r>
      <w:r>
        <w:t xml:space="preserve">. No decomposition, no fair value, no</w:t>
      </w:r>
      <w:r>
        <w:t xml:space="preserve"> </w:t>
      </w:r>
      <w:r>
        <w:t xml:space="preserve">regime, no reaction function — nothing is</w:t>
      </w:r>
      <w:r>
        <w:t xml:space="preserve"> </w:t>
      </w:r>
      <w:r>
        <w:rPr>
          <w:i/>
          <w:iCs/>
        </w:rPr>
        <w:t xml:space="preserve">computed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Consequence:</w:t>
      </w:r>
      <w:r>
        <w:t xml:space="preserve"> </w:t>
      </w:r>
      <w:r>
        <w:t xml:space="preserve">the charts are, in the owner’s words,</w:t>
      </w:r>
      <w:r>
        <w:t xml:space="preserve"> </w:t>
      </w:r>
      <w:r>
        <w:t xml:space="preserve">“some terrible plot of</w:t>
      </w:r>
      <w:r>
        <w:t xml:space="preserve"> </w:t>
      </w:r>
      <w:r>
        <w:t xml:space="preserve">two variables… not insightful, interesting, informative or illustrative.”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Root cause:</w:t>
      </w:r>
      <w:r>
        <w:t xml:space="preserve"> </w:t>
      </w:r>
      <w:r>
        <w:t xml:space="preserve">the architecture has no model-execution stage and the graph has</w:t>
      </w:r>
      <w:r>
        <w:t xml:space="preserve"> </w:t>
      </w:r>
      <w:r>
        <w:t xml:space="preserve">no model catalog (§03). Insight was treated as a</w:t>
      </w:r>
      <w:r>
        <w:t xml:space="preserve"> </w:t>
      </w:r>
      <w:r>
        <w:rPr>
          <w:i/>
          <w:iCs/>
        </w:rPr>
        <w:t xml:space="preserve">rendering</w:t>
      </w:r>
      <w:r>
        <w:t xml:space="preserve"> </w:t>
      </w:r>
      <w:r>
        <w:t xml:space="preserve">problem when it is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modelling</w:t>
      </w:r>
      <w:r>
        <w:t xml:space="preserve"> </w:t>
      </w:r>
      <w:r>
        <w:t xml:space="preserve">problem.</w:t>
      </w:r>
    </w:p>
    <w:bookmarkEnd w:id="13"/>
    <w:bookmarkStart w:id="14" w:name="Xec3c544af9627155a10234746eb023d3e7daf9b"/>
    <w:p>
      <w:pPr>
        <w:pStyle w:val="Heading2"/>
      </w:pPr>
      <w:r>
        <w:t xml:space="preserve">Failure mode 2 — Wrong rendering mechanism on the flagship surfaces</w:t>
      </w:r>
    </w:p>
    <w:p>
      <w:pPr>
        <w:pStyle w:val="FirstParagraph"/>
      </w:pPr>
      <w:r>
        <w:t xml:space="preserve">Both credibility-bearing visual surfaces use a mechanism that</w:t>
      </w:r>
      <w:r>
        <w:t xml:space="preserve"> </w:t>
      </w:r>
      <w:r>
        <w:rPr>
          <w:i/>
          <w:iCs/>
        </w:rPr>
        <w:t xml:space="preserve">cannot</w:t>
      </w:r>
      <w:r>
        <w:t xml:space="preserve"> </w:t>
      </w:r>
      <w:r>
        <w:t xml:space="preserve">meet the</w:t>
      </w:r>
      <w:r>
        <w:t xml:space="preserve"> </w:t>
      </w:r>
      <w:r>
        <w:t xml:space="preserve">requirement.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Charts:</w:t>
      </w:r>
      <w:r>
        <w:t xml:space="preserve"> </w:t>
      </w:r>
      <w:r>
        <w:t xml:space="preserve">a 5-grammar template engine that can only emit</w:t>
      </w:r>
      <w:r>
        <w:t xml:space="preserve"> </w:t>
      </w:r>
      <w:r>
        <w:t xml:space="preserve">“two lines + wedge”</w:t>
      </w:r>
      <w:r>
        <w:t xml:space="preserve">,</w:t>
      </w:r>
      <w:r>
        <w:t xml:space="preserve"> </w:t>
      </w:r>
      <w:r>
        <w:t xml:space="preserve">“a distribution”</w:t>
      </w:r>
      <w:r>
        <w:t xml:space="preserve">, or</w:t>
      </w:r>
      <w:r>
        <w:t xml:space="preserve"> </w:t>
      </w:r>
      <w:r>
        <w:t xml:space="preserve">“a bar/facet”</w:t>
      </w:r>
      <w:r>
        <w:t xml:space="preserve">. It is structurally incapable of the ~16</w:t>
      </w:r>
      <w:r>
        <w:t xml:space="preserve"> </w:t>
      </w:r>
      <w:r>
        <w:t xml:space="preserve">chart patterns the aspirational corpus defines; several builders</w:t>
      </w:r>
      <w:r>
        <w:t xml:space="preserve"> </w:t>
      </w:r>
      <w:r>
        <w:t xml:space="preserve">(</w:t>
      </w:r>
      <w:r>
        <w:rPr>
          <w:rStyle w:val="VerbatimChar"/>
        </w:rPr>
        <w:t xml:space="preserve">small_multiples</w:t>
      </w:r>
      <w:r>
        <w:t xml:space="preserve">,</w:t>
      </w:r>
      <w:r>
        <w:t xml:space="preserve"> </w:t>
      </w:r>
      <w:r>
        <w:rPr>
          <w:rStyle w:val="VerbatimChar"/>
        </w:rPr>
        <w:t xml:space="preserve">fan_chart</w:t>
      </w:r>
      <w:r>
        <w:t xml:space="preserve">) are stubs aliased to a plain line.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Infographic:</w:t>
      </w:r>
      <w:r>
        <w:t xml:space="preserve"> </w:t>
      </w:r>
      <w:r>
        <w:t xml:space="preserve">rendered by a</w:t>
      </w:r>
      <w:r>
        <w:t xml:space="preserve"> </w:t>
      </w:r>
      <w:r>
        <w:rPr>
          <w:b/>
          <w:bCs/>
        </w:rPr>
        <w:t xml:space="preserve">diffusion image model</w:t>
      </w:r>
      <w:r>
        <w:t xml:space="preserve"> </w:t>
      </w:r>
      <w:r>
        <w:t xml:space="preserve">(</w:t>
      </w:r>
      <w:r>
        <w:rPr>
          <w:rStyle w:val="VerbatimChar"/>
        </w:rPr>
        <w:t xml:space="preserve">gpt-image-2</w:t>
      </w:r>
      <w:r>
        <w:t xml:space="preserve">), then</w:t>
      </w:r>
      <w:r>
        <w:t xml:space="preserve"> </w:t>
      </w:r>
      <w:r>
        <w:rPr>
          <w:i/>
          <w:iCs/>
        </w:rPr>
        <w:t xml:space="preserve">OCR-checked</w:t>
      </w:r>
      <w:r>
        <w:t xml:space="preserve"> </w:t>
      </w:r>
      <w:r>
        <w:t xml:space="preserve">to catch the garbled numbers. A diffusion model cannot render</w:t>
      </w:r>
      <w:r>
        <w:t xml:space="preserve"> </w:t>
      </w:r>
      <w:r>
        <w:t xml:space="preserve">exact text/numbers by construction. The correct, published technique</w:t>
      </w:r>
      <w:r>
        <w:t xml:space="preserve"> </w:t>
      </w:r>
      <w:r>
        <w:t xml:space="preserve">(Infogen / LIDA, §01) is verified-numbers → deterministic code. The owner</w:t>
      </w:r>
      <w:r>
        <w:t xml:space="preserve"> </w:t>
      </w:r>
      <w:r>
        <w:t xml:space="preserve">identified this precisely:</w:t>
      </w:r>
      <w:r>
        <w:t xml:space="preserve"> </w:t>
      </w:r>
      <w:r>
        <w:rPr>
          <w:i/>
          <w:iCs/>
        </w:rPr>
        <w:t xml:space="preserve">“if you can’t reliably generate a quality</w:t>
      </w:r>
      <w:r>
        <w:rPr>
          <w:i/>
          <w:iCs/>
        </w:rPr>
        <w:t xml:space="preserve"> </w:t>
      </w:r>
      <w:r>
        <w:rPr>
          <w:i/>
          <w:iCs/>
        </w:rPr>
        <w:t xml:space="preserve">infographic… you have neither the model, the data, the insights, nor the</w:t>
      </w:r>
      <w:r>
        <w:rPr>
          <w:i/>
          <w:iCs/>
        </w:rPr>
        <w:t xml:space="preserve"> </w:t>
      </w:r>
      <w:r>
        <w:rPr>
          <w:i/>
          <w:iCs/>
        </w:rPr>
        <w:t xml:space="preserve">mechanics.”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Root cause:</w:t>
      </w:r>
      <w:r>
        <w:t xml:space="preserve"> </w:t>
      </w:r>
      <w:r>
        <w:t xml:space="preserve">the wrong tool was chosen for a numeric-fidelity task, and the</w:t>
      </w:r>
      <w:r>
        <w:t xml:space="preserve"> </w:t>
      </w:r>
      <w:r>
        <w:t xml:space="preserve">response to its failures was to</w:t>
      </w:r>
      <w:r>
        <w:t xml:space="preserve"> </w:t>
      </w:r>
      <w:r>
        <w:rPr>
          <w:i/>
          <w:iCs/>
        </w:rPr>
        <w:t xml:space="preserve">verify after the fact</w:t>
      </w:r>
      <w:r>
        <w:t xml:space="preserve"> </w:t>
      </w:r>
      <w:r>
        <w:t xml:space="preserve">rather than change the</w:t>
      </w:r>
      <w:r>
        <w:t xml:space="preserve"> </w:t>
      </w:r>
      <w:r>
        <w:t xml:space="preserve">mechanism.</w:t>
      </w:r>
    </w:p>
    <w:bookmarkEnd w:id="14"/>
    <w:bookmarkStart w:id="15" w:name="Xc1e66df4923b9aac7f13ab93826d1ba122d97c4"/>
    <w:p>
      <w:pPr>
        <w:pStyle w:val="Heading2"/>
      </w:pPr>
      <w:r>
        <w:t xml:space="preserve">Failure mode 3 — Garbage data reaches the canvas, masked not rejected</w:t>
      </w:r>
    </w:p>
    <w:p>
      <w:pPr>
        <w:pStyle w:val="FirstParagraph"/>
      </w:pPr>
      <w:r>
        <w:t xml:space="preserve">When upstream data was wrong, the engine</w:t>
      </w:r>
      <w:r>
        <w:t xml:space="preserve"> </w:t>
      </w:r>
      <w:r>
        <w:rPr>
          <w:i/>
          <w:iCs/>
        </w:rPr>
        <w:t xml:space="preserve">hid</w:t>
      </w:r>
      <w:r>
        <w:t xml:space="preserve"> </w:t>
      </w:r>
      <w:r>
        <w:t xml:space="preserve">it rather than refusing it.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Evidence:</w:t>
      </w:r>
      <w:r>
        <w:t xml:space="preserve"> </w:t>
      </w:r>
      <w:r>
        <w:t xml:space="preserve">a Kalshi implied-rate series carrying out-of-scale values (raw</w:t>
      </w:r>
      <w:r>
        <w:t xml:space="preserve"> </w:t>
      </w:r>
      <w:r>
        <w:rPr>
          <w:rStyle w:val="VerbatimChar"/>
        </w:rPr>
        <w:t xml:space="preserve">20</w:t>
      </w:r>
      <w:r>
        <w:t xml:space="preserve"> </w:t>
      </w:r>
      <w:r>
        <w:t xml:space="preserve">= 20% mixed with correct values) was</w:t>
      </w:r>
      <w:r>
        <w:t xml:space="preserve"> </w:t>
      </w:r>
      <w:r>
        <w:rPr>
          <w:b/>
          <w:bCs/>
        </w:rPr>
        <w:t xml:space="preserve">winsorized and shipped</w:t>
      </w:r>
      <w:r>
        <w:t xml:space="preserve"> </w:t>
      </w:r>
      <w:r>
        <w:t xml:space="preserve">with a</w:t>
      </w:r>
      <w:r>
        <w:t xml:space="preserve"> </w:t>
      </w:r>
      <w:r>
        <w:t xml:space="preserve">footnote</w:t>
      </w:r>
      <w:r>
        <w:t xml:space="preserve"> </w:t>
      </w:r>
      <w:r>
        <w:t xml:space="preserve">“3 extreme values clipped to axis”</w:t>
      </w:r>
      <w:r>
        <w:t xml:space="preserve">, instead of being rejected as</w:t>
      </w:r>
      <w:r>
        <w:t xml:space="preserve"> </w:t>
      </w:r>
      <w:r>
        <w:t xml:space="preserve">implausible. A perp chart plotted the contract cent-price because the fetch</w:t>
      </w:r>
      <w:r>
        <w:t xml:space="preserve"> </w:t>
      </w:r>
      <w:r>
        <w:t xml:space="preserve">layer exported both the meaningful and the meaningless series and the planner</w:t>
      </w:r>
      <w:r>
        <w:t xml:space="preserve"> </w:t>
      </w:r>
      <w:r>
        <w:t xml:space="preserve">picked wrong.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cause:</w:t>
      </w:r>
      <w:r>
        <w:t xml:space="preserve"> </w:t>
      </w:r>
      <w:r>
        <w:t xml:space="preserve">clipping-and-shipping is a process convenience that produces a</w:t>
      </w:r>
      <w:r>
        <w:t xml:space="preserve"> </w:t>
      </w:r>
      <w:r>
        <w:t xml:space="preserve">green gate over bad data — the meta-failure again, at the data boundary.</w:t>
      </w:r>
    </w:p>
    <w:bookmarkEnd w:id="15"/>
    <w:bookmarkStart w:id="16" w:name="Xa69fde121be367e5551dd05916faec6f7475c3d"/>
    <w:p>
      <w:pPr>
        <w:pStyle w:val="Heading2"/>
      </w:pPr>
      <w:r>
        <w:t xml:space="preserve">Failure mode 4 — The FOMC default that never generalizes</w:t>
      </w:r>
    </w:p>
    <w:p>
      <w:pPr>
        <w:pStyle w:val="FirstParagraph"/>
      </w:pPr>
      <w:r>
        <w:t xml:space="preserve">Every attempt to prove quality started, and re-started, on the</w:t>
      </w:r>
      <w:r>
        <w:t xml:space="preserve"> </w:t>
      </w:r>
      <w:r>
        <w:rPr>
          <w:b/>
          <w:bCs/>
        </w:rPr>
        <w:t xml:space="preserve">same single</w:t>
      </w:r>
      <w:r>
        <w:rPr>
          <w:b/>
          <w:bCs/>
        </w:rPr>
        <w:t xml:space="preserve"> </w:t>
      </w:r>
      <w:r>
        <w:rPr>
          <w:b/>
          <w:bCs/>
        </w:rPr>
        <w:t xml:space="preserve">use-case: FOMC.</w:t>
      </w:r>
      <w:r>
        <w:t xml:space="preserve"> </w:t>
      </w:r>
      <w:r>
        <w:t xml:space="preserve">The result was code that did FOMC and did not generalize —</w:t>
      </w:r>
      <w:r>
        <w:t xml:space="preserve"> </w:t>
      </w:r>
      <w:r>
        <w:t xml:space="preserve">which is the antithesis of the generic app the product requires.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Evidence:</w:t>
      </w:r>
      <w:r>
        <w:t xml:space="preserve"> </w:t>
      </w:r>
      <w:r>
        <w:t xml:space="preserve">four Tier-1 templates exist, but the working,</w:t>
      </w:r>
      <w:r>
        <w:t xml:space="preserve"> </w:t>
      </w:r>
      <w:r>
        <w:t xml:space="preserve">“clean”</w:t>
      </w:r>
      <w:r>
        <w:t xml:space="preserve"> </w:t>
      </w:r>
      <w:r>
        <w:t xml:space="preserve">runs and</w:t>
      </w:r>
      <w:r>
        <w:t xml:space="preserve"> </w:t>
      </w:r>
      <w:r>
        <w:t xml:space="preserve">every proof-of-concept collapsed onto the FOMC / rates piece; the graph’s</w:t>
      </w:r>
      <w:r>
        <w:t xml:space="preserve"> </w:t>
      </w:r>
      <w:r>
        <w:t xml:space="preserve">economic content is disproportionately Fed-shaped.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Root cause:</w:t>
      </w:r>
      <w:r>
        <w:t xml:space="preserve"> </w:t>
      </w:r>
      <w:r>
        <w:t xml:space="preserve">proving on a single, familiar use-case is the path of least</w:t>
      </w:r>
      <w:r>
        <w:t xml:space="preserve"> </w:t>
      </w:r>
      <w:r>
        <w:t xml:space="preserve">resistance, and it</w:t>
      </w:r>
      <w:r>
        <w:t xml:space="preserve"> </w:t>
      </w:r>
      <w:r>
        <w:rPr>
          <w:i/>
          <w:iCs/>
        </w:rPr>
        <w:t xml:space="preserve">feels</w:t>
      </w:r>
      <w:r>
        <w:t xml:space="preserve"> </w:t>
      </w:r>
      <w:r>
        <w:t xml:space="preserve">like progress while guaranteeing non-generality. The</w:t>
      </w:r>
      <w:r>
        <w:t xml:space="preserve"> </w:t>
      </w:r>
      <w:r>
        <w:t xml:space="preserve">owner’s fix — validate the data layers against the</w:t>
      </w:r>
      <w:r>
        <w:t xml:space="preserve"> </w:t>
      </w:r>
      <w:r>
        <w:rPr>
          <w:i/>
          <w:iCs/>
        </w:rPr>
        <w:t xml:space="preserve">full-remit</w:t>
      </w:r>
      <w:r>
        <w:t xml:space="preserve"> </w:t>
      </w:r>
      <w:r>
        <w:t xml:space="preserve">matrix before</w:t>
      </w:r>
      <w:r>
        <w:t xml:space="preserve"> </w:t>
      </w:r>
      <w:r>
        <w:t xml:space="preserve">any app work — is the direct antidote.</w:t>
      </w:r>
    </w:p>
    <w:bookmarkEnd w:id="16"/>
    <w:bookmarkStart w:id="17" w:name="Xcfcd1c6e8deb2c49f2ff5b23bd6bbe9253875d4"/>
    <w:p>
      <w:pPr>
        <w:pStyle w:val="Heading2"/>
      </w:pPr>
      <w:r>
        <w:t xml:space="preserve">Failure mode 5 — Escalating architecture as avoidance</w:t>
      </w:r>
    </w:p>
    <w:p>
      <w:pPr>
        <w:pStyle w:val="FirstParagraph"/>
      </w:pPr>
      <w:r>
        <w:t xml:space="preserve">Each time the output was judged bad, the response was to</w:t>
      </w:r>
      <w:r>
        <w:t xml:space="preserve"> </w:t>
      </w:r>
      <w:r>
        <w:rPr>
          <w:b/>
          <w:bCs/>
        </w:rPr>
        <w:t xml:space="preserve">propose a larger</w:t>
      </w:r>
      <w:r>
        <w:rPr>
          <w:b/>
          <w:bCs/>
        </w:rPr>
        <w:t xml:space="preserve"> </w:t>
      </w:r>
      <w:r>
        <w:rPr>
          <w:b/>
          <w:bCs/>
        </w:rPr>
        <w:t xml:space="preserve">system</w:t>
      </w:r>
      <w:r>
        <w:t xml:space="preserve"> </w:t>
      </w:r>
      <w:r>
        <w:t xml:space="preserve">— a chart-mechanics overhaul, then a model-engine, then another plan —</w:t>
      </w:r>
      <w:r>
        <w:t xml:space="preserve"> </w:t>
      </w:r>
      <w:r>
        <w:t xml:space="preserve">rather than to</w:t>
      </w:r>
      <w:r>
        <w:t xml:space="preserve"> </w:t>
      </w:r>
      <w:r>
        <w:rPr>
          <w:i/>
          <w:iCs/>
        </w:rPr>
        <w:t xml:space="preserve">produce one genuinely good artifact and look at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Root cause:</w:t>
      </w:r>
      <w:r>
        <w:t xml:space="preserve"> </w:t>
      </w:r>
      <w:r>
        <w:t xml:space="preserve">a plan cannot be judged today; an artifact can. Choosing the</w:t>
      </w:r>
      <w:r>
        <w:t xml:space="preserve"> </w:t>
      </w:r>
      <w:r>
        <w:t xml:space="preserve">plan defers the uncomfortable moment of judgement indefinitely. Systematizing</w:t>
      </w:r>
      <w:r>
        <w:t xml:space="preserve"> </w:t>
      </w:r>
      <w:r>
        <w:t xml:space="preserve">became a way to avoid exercising taste.</w:t>
      </w:r>
    </w:p>
    <w:bookmarkEnd w:id="17"/>
    <w:bookmarkStart w:id="18" w:name="X7271ec163c3cf2f312b00001574d176e76671c5"/>
    <w:p>
      <w:pPr>
        <w:pStyle w:val="Heading2"/>
      </w:pPr>
      <w:r>
        <w:t xml:space="preserve">What a new project must design against (the lessons)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“Done”</w:t>
      </w:r>
      <w:r>
        <w:rPr>
          <w:b/>
          <w:bCs/>
        </w:rPr>
        <w:t xml:space="preserve"> </w:t>
      </w:r>
      <w:r>
        <w:rPr>
          <w:b/>
          <w:bCs/>
        </w:rPr>
        <w:t xml:space="preserve">= a human looked at the output and it is good.</w:t>
      </w:r>
      <w:r>
        <w:t xml:space="preserve"> </w:t>
      </w:r>
      <w:r>
        <w:t xml:space="preserve">Gates are aids, never</w:t>
      </w:r>
      <w:r>
        <w:t xml:space="preserve"> </w:t>
      </w:r>
      <w:r>
        <w:t xml:space="preserve">the definition of success. Build looking-and-judging into the loop.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Insight is a modelling problem.</w:t>
      </w:r>
      <w:r>
        <w:t xml:space="preserve"> </w:t>
      </w:r>
      <w:r>
        <w:t xml:space="preserve">No artifact ships without a</w:t>
      </w:r>
      <w:r>
        <w:t xml:space="preserve"> </w:t>
      </w:r>
      <w:r>
        <w:rPr>
          <w:i/>
          <w:iCs/>
        </w:rPr>
        <w:t xml:space="preserve">named,</w:t>
      </w:r>
      <w:r>
        <w:rPr>
          <w:i/>
          <w:iCs/>
        </w:rPr>
        <w:t xml:space="preserve"> </w:t>
      </w:r>
      <w:r>
        <w:rPr>
          <w:i/>
          <w:iCs/>
        </w:rPr>
        <w:t xml:space="preserve">executed model</w:t>
      </w:r>
      <w:r>
        <w:t xml:space="preserve"> </w:t>
      </w:r>
      <w:r>
        <w:t xml:space="preserve">behind its numbers.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Numbers come from execution; rendering is deterministic code.</w:t>
      </w:r>
      <w:r>
        <w:t xml:space="preserve"> </w:t>
      </w:r>
      <w:r>
        <w:t xml:space="preserve">No diffusion</w:t>
      </w:r>
      <w:r>
        <w:t xml:space="preserve"> </w:t>
      </w:r>
      <w:r>
        <w:t xml:space="preserve">model touches a numeric artifact; no LLM authors a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Bad data is refused, never masked.</w:t>
      </w:r>
      <w:r>
        <w:t xml:space="preserve"> </w:t>
      </w:r>
      <w:r>
        <w:t xml:space="preserve">Plausibility is a hard gate at the data</w:t>
      </w:r>
      <w:r>
        <w:t xml:space="preserve"> </w:t>
      </w:r>
      <w:r>
        <w:t xml:space="preserve">boundary.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Generality is proved on the full remit, not one use-case.</w:t>
      </w:r>
      <w:r>
        <w:t xml:space="preserve"> </w:t>
      </w:r>
      <w:r>
        <w:t xml:space="preserve">FOMC is one row</w:t>
      </w:r>
      <w:r>
        <w:t xml:space="preserve"> </w:t>
      </w:r>
      <w:r>
        <w:t xml:space="preserve">of a matrix, never the yardstick.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Prove with one excellent artifact before systematizing.</w:t>
      </w:r>
      <w:r>
        <w:t xml:space="preserve"> </w:t>
      </w:r>
      <w:r>
        <w:t xml:space="preserve">Taste precedes</w:t>
      </w:r>
      <w:r>
        <w:t xml:space="preserve"> </w:t>
      </w:r>
      <w:r>
        <w:t xml:space="preserve">architecture.</w:t>
      </w:r>
    </w:p>
    <w:p>
      <w:pPr>
        <w:pStyle w:val="FirstParagraph"/>
      </w:pPr>
      <w:r>
        <w:t xml:space="preserve">These six are not incidental to Horizon2 — they are woven through its design and</w:t>
      </w:r>
      <w:r>
        <w:t xml:space="preserve"> </w:t>
      </w:r>
      <w:r>
        <w:t xml:space="preserve">its gate-centric culture. That is the core reason the recommendation (§08) is to</w:t>
      </w:r>
      <w:r>
        <w:t xml:space="preserve"> </w:t>
      </w:r>
      <w:r>
        <w:rPr>
          <w:i/>
          <w:iCs/>
        </w:rPr>
        <w:t xml:space="preserve">restart the application</w:t>
      </w:r>
      <w:r>
        <w:t xml:space="preserve"> </w:t>
      </w:r>
      <w:r>
        <w:t xml:space="preserve">rather than patch it: the lessons are easier to honour</w:t>
      </w:r>
      <w:r>
        <w:t xml:space="preserve"> </w:t>
      </w:r>
      <w:r>
        <w:t xml:space="preserve">in a new project than to retrofit into the one that embodies their violation.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Lucidate / Horizon Assessment</dc:title>
  <dc:creator/>
  <cp:keywords/>
  <dcterms:created xsi:type="dcterms:W3CDTF">2026-07-10T10:58:48Z</dcterms:created>
  <dcterms:modified xsi:type="dcterms:W3CDTF">2026-07-10T10:58:48Z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