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Lucidate / Horizon Assessment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X1f31ed58922838f609f9a66aa46126758929540"/>
    <w:p>
      <w:pPr>
        <w:pStyle w:val="Heading1"/>
      </w:pPr>
      <w:r>
        <w:t xml:space="preserve">05 — Decision-maker × Model Matrix (the generic yardstick)</w:t>
      </w:r>
    </w:p>
    <w:p>
      <w:pPr>
        <w:pStyle w:val="FirstParagraph"/>
      </w:pPr>
      <w:r>
        <w:t xml:space="preserve">This matrix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definition of</w:t>
      </w:r>
      <w:r>
        <w:t xml:space="preserve"> </w:t>
      </w:r>
      <w:r>
        <w:t xml:space="preserve">“generic.”</w:t>
      </w:r>
      <w:r>
        <w:t xml:space="preserve"> </w:t>
      </w:r>
      <w:r>
        <w:t xml:space="preserve">It enumerates the decision-makers</w:t>
      </w:r>
      <w:r>
        <w:t xml:space="preserve"> </w:t>
      </w:r>
      <w:r>
        <w:t xml:space="preserve">the app must serve across the</w:t>
      </w:r>
      <w:r>
        <w:t xml:space="preserve"> </w:t>
      </w:r>
      <w:r>
        <w:rPr>
          <w:b/>
          <w:bCs/>
        </w:rPr>
        <w:t xml:space="preserve">full Lucidate remit</w:t>
      </w:r>
      <w:r>
        <w:t xml:space="preserve">, the model(s) each runs, the</w:t>
      </w:r>
      <w:r>
        <w:t xml:space="preserve"> </w:t>
      </w:r>
      <w:r>
        <w:t xml:space="preserve">data those models consume, the outputs they produce, and the relationships the</w:t>
      </w:r>
      <w:r>
        <w:t xml:space="preserve"> </w:t>
      </w:r>
      <w:r>
        <w:t xml:space="preserve">graph must encode. The audit (§03) and gap analysis (§07) are scored against 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every row’s requirements — so that</w:t>
      </w:r>
      <w:r>
        <w:t xml:space="preserve"> </w:t>
      </w:r>
      <w:r>
        <w:t xml:space="preserve">“fit for purpose”</w:t>
      </w:r>
      <w:r>
        <w:t xml:space="preserve"> </w:t>
      </w:r>
      <w:r>
        <w:t xml:space="preserve">means</w:t>
      </w:r>
      <w:r>
        <w:t xml:space="preserve"> </w:t>
      </w:r>
      <w:r>
        <w:t xml:space="preserve">“fits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of these,”</w:t>
      </w:r>
      <w:r>
        <w:t xml:space="preserve"> </w:t>
      </w:r>
      <w:r>
        <w:t xml:space="preserve">never</w:t>
      </w:r>
      <w:r>
        <w:t xml:space="preserve"> </w:t>
      </w:r>
      <w:r>
        <w:t xml:space="preserve">“fits FOMC.”</w:t>
      </w:r>
    </w:p>
    <w:p>
      <w:pPr>
        <w:pStyle w:val="BodyText"/>
      </w:pPr>
      <w:r>
        <w:t xml:space="preserve">Each row also records whether the model already exists as a UMD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 </w:t>
      </w:r>
      <w:r>
        <w:t xml:space="preserve">implementation — the raw material for the model catalog.</w:t>
      </w:r>
    </w:p>
    <w:bookmarkStart w:id="12" w:name="the-personas"/>
    <w:p>
      <w:pPr>
        <w:pStyle w:val="Heading2"/>
      </w:pPr>
      <w:r>
        <w:t xml:space="preserve">The personas</w:t>
      </w:r>
    </w:p>
    <w:p>
      <w:pPr>
        <w:pStyle w:val="CaptionedFigure"/>
      </w:pPr>
      <w:r>
        <w:drawing>
          <wp:inline>
            <wp:extent cx="5334000" cy="1265464"/>
            <wp:effectExtent b="0" l="0" r="0" t="0"/>
            <wp:docPr descr="diagram" title="" id="10" name="Picture"/>
            <a:graphic>
              <a:graphicData uri="http://schemas.openxmlformats.org/drawingml/2006/picture">
                <pic:pic>
                  <pic:nvPicPr>
                    <pic:cNvPr descr="./05-decision-maker-model-matrix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5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12"/>
    <w:bookmarkStart w:id="13" w:name="the-matrix"/>
    <w:p>
      <w:pPr>
        <w:pStyle w:val="Heading2"/>
      </w:pPr>
      <w:r>
        <w:t xml:space="preserve">The matrix</w:t>
      </w:r>
    </w:p>
    <w:p>
      <w:pPr>
        <w:pStyle w:val="FirstParagraph"/>
      </w:pPr>
      <w:r>
        <w:t xml:space="preserve">Legend for</w:t>
      </w:r>
      <w:r>
        <w:t xml:space="preserve"> </w:t>
      </w:r>
      <w:r>
        <w:rPr>
          <w:i/>
          <w:iCs/>
        </w:rPr>
        <w:t xml:space="preserve">“in UMD?”</w:t>
      </w:r>
      <w:r>
        <w:t xml:space="preserve">: ✅ implemented · ◻ partial · ✗ missing.</w:t>
      </w:r>
    </w:p>
    <w:p>
      <w:pPr>
        <w:pStyle w:val="BlockText"/>
      </w:pPr>
      <w:r>
        <w:rPr>
          <w:b/>
          <w:bCs/>
        </w:rPr>
        <w:t xml:space="preserve">Read every</w:t>
      </w:r>
      <w:r>
        <w:rPr>
          <w:b/>
          <w:bCs/>
        </w:rPr>
        <w:t xml:space="preserve"> </w:t>
      </w:r>
      <w:r>
        <w:rPr>
          <w:b/>
          <w:bCs/>
        </w:rPr>
        <w:t xml:space="preserve">“data inputs”</w:t>
      </w:r>
      <w:r>
        <w:rPr>
          <w:b/>
          <w:bCs/>
        </w:rPr>
        <w:t xml:space="preserve"> </w:t>
      </w:r>
      <w:r>
        <w:rPr>
          <w:b/>
          <w:bCs/>
        </w:rPr>
        <w:t xml:space="preserve">cell through §10.</w:t>
      </w:r>
      <w:r>
        <w:t xml:space="preserve"> </w:t>
      </w:r>
      <w:r>
        <w:t xml:space="preserve">Each listed input is consumed as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state</w:t>
      </w:r>
      <w:r>
        <w:t xml:space="preserve"> </w:t>
      </w:r>
      <w:r>
        <w:t xml:space="preserve">— level, first derivative (direction/speed), second derivative</w:t>
      </w:r>
      <w:r>
        <w:t xml:space="preserve"> </w:t>
      </w:r>
      <w:r>
        <w:t xml:space="preserve">(acceleration), and context (vs trend/percentile/regime/expectations) — and each</w:t>
      </w:r>
      <w:r>
        <w:t xml:space="preserve"> </w:t>
      </w:r>
      <w:r>
        <w:t xml:space="preserve">model declares which orders it uses. The cells name the</w:t>
      </w:r>
      <w:r>
        <w:t xml:space="preserve"> </w:t>
      </w:r>
      <w:r>
        <w:rPr>
          <w:i/>
          <w:iCs/>
        </w:rPr>
        <w:t xml:space="preserve">variables</w:t>
      </w:r>
      <w:r>
        <w:t xml:space="preserve">; the</w:t>
      </w:r>
      <w:r>
        <w:t xml:space="preserve"> </w:t>
      </w:r>
      <w:r>
        <w:t xml:space="preserve">derivative/context stack applies to all of them, not only to inflation.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Decision-maker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Model(s)</w:t>
            </w:r>
          </w:p>
        </w:tc>
        <w:tc>
          <w:tcPr/>
          <w:p>
            <w:pPr>
              <w:pStyle w:val="Compact"/>
            </w:pPr>
            <w:r>
              <w:t xml:space="preserve">Key data inputs (multi-dimensional)</w:t>
            </w:r>
          </w:p>
        </w:tc>
        <w:tc>
          <w:tcPr/>
          <w:p>
            <w:pPr>
              <w:pStyle w:val="Compact"/>
            </w:pPr>
            <w:r>
              <w:t xml:space="preserve">Output / insight</w:t>
            </w:r>
          </w:p>
        </w:tc>
        <w:tc>
          <w:tcPr/>
          <w:p>
            <w:pPr>
              <w:pStyle w:val="Compact"/>
            </w:pPr>
            <w:r>
              <w:t xml:space="preserve">In UMD?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Central-bank policymaker</w:t>
            </w:r>
          </w:p>
        </w:tc>
        <w:tc>
          <w:tcPr/>
          <w:p>
            <w:pPr>
              <w:pStyle w:val="Compact"/>
            </w:pPr>
            <w:r>
              <w:t xml:space="preserve">Set the policy rate</w:t>
            </w:r>
          </w:p>
        </w:tc>
        <w:tc>
          <w:tcPr/>
          <w:p>
            <w:pPr>
              <w:pStyle w:val="Compact"/>
            </w:pPr>
            <w:r>
              <w:t xml:space="preserve">Taylor-rule variants, Fed reaction function, r-star, output-gap, Phillips curve, inflation-persistence</w:t>
            </w:r>
          </w:p>
        </w:tc>
        <w:tc>
          <w:tcPr/>
          <w:p>
            <w:pPr>
              <w:pStyle w:val="Compact"/>
            </w:pPr>
            <w:r>
              <w:t xml:space="preserve">Core &amp; headline CPI/PCE</w:t>
            </w:r>
            <w:r>
              <w:t xml:space="preserve"> </w:t>
            </w:r>
            <w:r>
              <w:rPr>
                <w:b/>
                <w:bCs/>
              </w:rPr>
              <w:t xml:space="preserve">and their Δ</w:t>
            </w:r>
            <w:r>
              <w:t xml:space="preserve">, unemployment + gap, GDP/output gap, wages, breakevens, inflation expectations, financial-conditions index</w:t>
            </w:r>
          </w:p>
        </w:tc>
        <w:tc>
          <w:tcPr/>
          <w:p>
            <w:pPr>
              <w:pStyle w:val="Compact"/>
            </w:pPr>
            <w:r>
              <w:t xml:space="preserve">Model-implied policy rate vs actual vs market; the persistence/gap read</w:t>
            </w:r>
          </w:p>
        </w:tc>
        <w:tc>
          <w:tcPr/>
          <w:p>
            <w:pPr>
              <w:pStyle w:val="Compact"/>
            </w:pPr>
            <w:r>
              <w:t xml:space="preserve">◻ (</w:t>
            </w:r>
            <w:r>
              <w:rPr>
                <w:rStyle w:val="VerbatimChar"/>
              </w:rPr>
              <w:t xml:space="preserve">rate_path_model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expectations</w:t>
            </w:r>
            <w:r>
              <w:t xml:space="preserve">; reaction fn 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Macro rates trader</w:t>
            </w:r>
          </w:p>
        </w:tc>
        <w:tc>
          <w:tcPr/>
          <w:p>
            <w:pPr>
              <w:pStyle w:val="Compact"/>
            </w:pPr>
            <w:r>
              <w:t xml:space="preserve">Position duration / swap book ahead of events</w:t>
            </w:r>
          </w:p>
        </w:tc>
        <w:tc>
          <w:tcPr/>
          <w:p>
            <w:pPr>
              <w:pStyle w:val="Compact"/>
            </w:pPr>
            <w:r>
              <w:t xml:space="preserve">Curve fair value, OIS-implied path, carry &amp; roll-down, term premium (ACM), PCA (level/slope/curv), rate divergence</w:t>
            </w:r>
          </w:p>
        </w:tc>
        <w:tc>
          <w:tcPr/>
          <w:p>
            <w:pPr>
              <w:pStyle w:val="Compact"/>
            </w:pPr>
            <w:r>
              <w:t xml:space="preserve">UST &amp; OIS curves, SOFR/fed-funds futures, inflation, growth, CFTC positioning, rate vol</w:t>
            </w:r>
          </w:p>
        </w:tc>
        <w:tc>
          <w:tcPr/>
          <w:p>
            <w:pPr>
              <w:pStyle w:val="Compact"/>
            </w:pPr>
            <w:r>
              <w:t xml:space="preserve">Fair value vs market gap; carry; positioning signal</w:t>
            </w:r>
          </w:p>
        </w:tc>
        <w:tc>
          <w:tcPr/>
          <w:p>
            <w:pPr>
              <w:pStyle w:val="Compact"/>
            </w:pPr>
            <w:r>
              <w:t xml:space="preserve">✅ (</w:t>
            </w:r>
            <w:r>
              <w:rPr>
                <w:rStyle w:val="VerbatimChar"/>
              </w:rPr>
              <w:t xml:space="preserve">curve_builder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rate_path_model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rate_divergence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fair_value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Relative-value FI trader</w:t>
            </w:r>
          </w:p>
        </w:tc>
        <w:tc>
          <w:tcPr/>
          <w:p>
            <w:pPr>
              <w:pStyle w:val="Compact"/>
            </w:pPr>
            <w:r>
              <w:t xml:space="preserve">Spread / basis trades</w:t>
            </w:r>
          </w:p>
        </w:tc>
        <w:tc>
          <w:tcPr/>
          <w:p>
            <w:pPr>
              <w:pStyle w:val="Compact"/>
            </w:pPr>
            <w:r>
              <w:t xml:space="preserve">Swap-spread fair value, butterfly/curve RV, cross-market basis, asset-swap</w:t>
            </w:r>
          </w:p>
        </w:tc>
        <w:tc>
          <w:tcPr/>
          <w:p>
            <w:pPr>
              <w:pStyle w:val="Compact"/>
            </w:pPr>
            <w:r>
              <w:t xml:space="preserve">Government &amp; swap curves, repo/funding, futures baskets</w:t>
            </w:r>
          </w:p>
        </w:tc>
        <w:tc>
          <w:tcPr/>
          <w:p>
            <w:pPr>
              <w:pStyle w:val="Compact"/>
            </w:pPr>
            <w:r>
              <w:t xml:space="preserve">Rich/cheap signal per node/spread</w:t>
            </w:r>
          </w:p>
        </w:tc>
        <w:tc>
          <w:tcPr/>
          <w:p>
            <w:pPr>
              <w:pStyle w:val="Compact"/>
            </w:pPr>
            <w:r>
              <w:t xml:space="preserve">◻ (</w:t>
            </w:r>
            <w:r>
              <w:rPr>
                <w:rStyle w:val="VerbatimChar"/>
              </w:rPr>
              <w:t xml:space="preserve">derived_spreads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curve_builder</w:t>
            </w:r>
            <w:r>
              <w:t xml:space="preserve">; RV models 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Corporate treasurer</w:t>
            </w:r>
          </w:p>
        </w:tc>
        <w:tc>
          <w:tcPr/>
          <w:p>
            <w:pPr>
              <w:pStyle w:val="Compact"/>
            </w:pPr>
            <w:r>
              <w:t xml:space="preserve">Hedge funding / FX / rates exposure</w:t>
            </w:r>
          </w:p>
        </w:tc>
        <w:tc>
          <w:tcPr/>
          <w:p>
            <w:pPr>
              <w:pStyle w:val="Compact"/>
            </w:pPr>
            <w:r>
              <w:t xml:space="preserve">Cost-of-carry, hedge ratio, funding-vs-inflation, scenario</w:t>
            </w:r>
          </w:p>
        </w:tc>
        <w:tc>
          <w:tcPr/>
          <w:p>
            <w:pPr>
              <w:pStyle w:val="Compact"/>
            </w:pPr>
            <w:r>
              <w:t xml:space="preserve">Rates, FX forwards, inflation, credit spreads, commodity input costs</w:t>
            </w:r>
          </w:p>
        </w:tc>
        <w:tc>
          <w:tcPr/>
          <w:p>
            <w:pPr>
              <w:pStyle w:val="Compact"/>
            </w:pPr>
            <w:r>
              <w:t xml:space="preserve">Hedge recommendation; cost under scenarios</w:t>
            </w:r>
          </w:p>
        </w:tc>
        <w:tc>
          <w:tcPr/>
          <w:p>
            <w:pPr>
              <w:pStyle w:val="Compact"/>
            </w:pPr>
            <w:r>
              <w:t xml:space="preserve">✗ (inputs present; models 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 investor</w:t>
            </w:r>
          </w:p>
        </w:tc>
        <w:tc>
          <w:tcPr/>
          <w:p>
            <w:pPr>
              <w:pStyle w:val="Compact"/>
            </w:pPr>
            <w:r>
              <w:t xml:space="preserve">Credit allocation</w:t>
            </w:r>
          </w:p>
        </w:tc>
        <w:tc>
          <w:tcPr/>
          <w:p>
            <w:pPr>
              <w:pStyle w:val="Compact"/>
            </w:pPr>
            <w:r>
              <w:t xml:space="preserve">Spread-vs-fundamentals, Merton/structural PD, spread decomposition (risk premium)</w:t>
            </w:r>
          </w:p>
        </w:tc>
        <w:tc>
          <w:tcPr/>
          <w:p>
            <w:pPr>
              <w:pStyle w:val="Compact"/>
            </w:pPr>
            <w:r>
              <w:t xml:space="preserve">IG/HY &amp; sovereign CDS spreads, ratings, leverage, equity vol, macro</w:t>
            </w:r>
          </w:p>
        </w:tc>
        <w:tc>
          <w:tcPr/>
          <w:p>
            <w:pPr>
              <w:pStyle w:val="Compact"/>
            </w:pPr>
            <w:r>
              <w:t xml:space="preserve">Fair spread vs market; PD; premium decomposition</w:t>
            </w:r>
          </w:p>
        </w:tc>
        <w:tc>
          <w:tcPr/>
          <w:p>
            <w:pPr>
              <w:pStyle w:val="Compact"/>
            </w:pPr>
            <w:r>
              <w:t xml:space="preserve">◻ (</w:t>
            </w:r>
            <w:r>
              <w:rPr>
                <w:rStyle w:val="VerbatimChar"/>
              </w:rPr>
              <w:t xml:space="preserve">sovereign_cds</w:t>
            </w:r>
            <w:r>
              <w:t xml:space="preserve"> </w:t>
            </w:r>
            <w:r>
              <w:t xml:space="preserve">data; structural models 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FX trader</w:t>
            </w:r>
          </w:p>
        </w:tc>
        <w:tc>
          <w:tcPr/>
          <w:p>
            <w:pPr>
              <w:pStyle w:val="Compact"/>
            </w:pPr>
            <w:r>
              <w:t xml:space="preserve">Currency positioning</w:t>
            </w:r>
          </w:p>
        </w:tc>
        <w:tc>
          <w:tcPr/>
          <w:p>
            <w:pPr>
              <w:pStyle w:val="Compact"/>
            </w:pPr>
            <w:r>
              <w:t xml:space="preserve">Rate/inflation-differential &amp; carry, PPP/REER, balance-of-payments</w:t>
            </w:r>
          </w:p>
        </w:tc>
        <w:tc>
          <w:tcPr/>
          <w:p>
            <w:pPr>
              <w:pStyle w:val="Compact"/>
            </w:pPr>
            <w:r>
              <w:t xml:space="preserve">Rate &amp; inflation differentials, terms of trade, positioning, reserves</w:t>
            </w:r>
          </w:p>
        </w:tc>
        <w:tc>
          <w:tcPr/>
          <w:p>
            <w:pPr>
              <w:pStyle w:val="Compact"/>
            </w:pPr>
            <w:r>
              <w:t xml:space="preserve">Carry-adjusted fair value vs spot</w:t>
            </w:r>
          </w:p>
        </w:tc>
        <w:tc>
          <w:tcPr/>
          <w:p>
            <w:pPr>
              <w:pStyle w:val="Compact"/>
            </w:pPr>
            <w:r>
              <w:t xml:space="preserve">◻ (</w:t>
            </w:r>
            <w:r>
              <w:rPr>
                <w:rStyle w:val="VerbatimChar"/>
              </w:rPr>
              <w:t xml:space="preserve">fx</w:t>
            </w:r>
            <w:r>
              <w:t xml:space="preserve"> </w:t>
            </w:r>
            <w:r>
              <w:t xml:space="preserve">series; models 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Commodity analyst</w:t>
            </w:r>
          </w:p>
        </w:tc>
        <w:tc>
          <w:tcPr/>
          <w:p>
            <w:pPr>
              <w:pStyle w:val="Compact"/>
            </w:pPr>
            <w:r>
              <w:t xml:space="preserve">Commodity positioning</w:t>
            </w:r>
          </w:p>
        </w:tc>
        <w:tc>
          <w:tcPr/>
          <w:p>
            <w:pPr>
              <w:pStyle w:val="Compact"/>
            </w:pPr>
            <w:r>
              <w:t xml:space="preserve">Supply/demand balance, inventory/storage, cost-curve, seasonality, crack/spark spread</w:t>
            </w:r>
          </w:p>
        </w:tc>
        <w:tc>
          <w:tcPr/>
          <w:p>
            <w:pPr>
              <w:pStyle w:val="Compact"/>
            </w:pPr>
            <w:r>
              <w:t xml:space="preserve">EIA/USDA/FAO balances, inventories, refinery/utilisation, FX, weather</w:t>
            </w:r>
          </w:p>
        </w:tc>
        <w:tc>
          <w:tcPr/>
          <w:p>
            <w:pPr>
              <w:pStyle w:val="Compact"/>
            </w:pPr>
            <w:r>
              <w:t xml:space="preserve">Balance surplus/deficit; fair price band</w:t>
            </w:r>
          </w:p>
        </w:tc>
        <w:tc>
          <w:tcPr/>
          <w:p>
            <w:pPr>
              <w:pStyle w:val="Compact"/>
            </w:pPr>
            <w:r>
              <w:t xml:space="preserve">◻ (EIA/USDA/FAO data; balance models 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Equity / multi-asset PM</w:t>
            </w:r>
          </w:p>
        </w:tc>
        <w:tc>
          <w:tcPr/>
          <w:p>
            <w:pPr>
              <w:pStyle w:val="Compact"/>
            </w:pPr>
            <w:r>
              <w:t xml:space="preserve">Allocation / valuation</w:t>
            </w:r>
          </w:p>
        </w:tc>
        <w:tc>
          <w:tcPr/>
          <w:p>
            <w:pPr>
              <w:pStyle w:val="Compact"/>
            </w:pPr>
            <w:r>
              <w:t xml:space="preserve">Equity risk premium, earnings-yield vs real rates (Fed model), factor/sector, DDM</w:t>
            </w:r>
          </w:p>
        </w:tc>
        <w:tc>
          <w:tcPr/>
          <w:p>
            <w:pPr>
              <w:pStyle w:val="Compact"/>
            </w:pPr>
            <w:r>
              <w:t xml:space="preserve">Equity prices &amp; fundamentals, real rates, breakevens, vol, earnings</w:t>
            </w:r>
          </w:p>
        </w:tc>
        <w:tc>
          <w:tcPr/>
          <w:p>
            <w:pPr>
              <w:pStyle w:val="Compact"/>
            </w:pPr>
            <w:r>
              <w:t xml:space="preserve">ERP; rich/cheap vs bonds; factor tilt</w:t>
            </w:r>
          </w:p>
        </w:tc>
        <w:tc>
          <w:tcPr/>
          <w:p>
            <w:pPr>
              <w:pStyle w:val="Compact"/>
            </w:pPr>
            <w:r>
              <w:t xml:space="preserve">◻ (</w:t>
            </w:r>
            <w:r>
              <w:rPr>
                <w:rStyle w:val="VerbatimChar"/>
              </w:rPr>
              <w:t xml:space="preserve">spx_fair_value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equity_fundamentals</w:t>
            </w:r>
            <w:r>
              <w:t xml:space="preserve">; ERP 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Volatility / derivatives trader</w:t>
            </w:r>
          </w:p>
        </w:tc>
        <w:tc>
          <w:tcPr/>
          <w:p>
            <w:pPr>
              <w:pStyle w:val="Compact"/>
            </w:pPr>
            <w:r>
              <w:t xml:space="preserve">Vol positioning</w:t>
            </w:r>
          </w:p>
        </w:tc>
        <w:tc>
          <w:tcPr/>
          <w:p>
            <w:pPr>
              <w:pStyle w:val="Compact"/>
            </w:pPr>
            <w:r>
              <w:t xml:space="preserve">Implied-vs-realized, vol surface, skew, variance risk premium</w:t>
            </w:r>
          </w:p>
        </w:tc>
        <w:tc>
          <w:tcPr/>
          <w:p>
            <w:pPr>
              <w:pStyle w:val="Compact"/>
            </w:pPr>
            <w:r>
              <w:t xml:space="preserve">Vol surfaces (Deribit, SR3, equity options), realized vol, spot</w:t>
            </w:r>
          </w:p>
        </w:tc>
        <w:tc>
          <w:tcPr/>
          <w:p>
            <w:pPr>
              <w:pStyle w:val="Compact"/>
            </w:pPr>
            <w:r>
              <w:t xml:space="preserve">VRP; skew signal; surface dislocation</w:t>
            </w:r>
          </w:p>
        </w:tc>
        <w:tc>
          <w:tcPr/>
          <w:p>
            <w:pPr>
              <w:pStyle w:val="Compact"/>
            </w:pPr>
            <w:r>
              <w:t xml:space="preserve">✅ (</w:t>
            </w:r>
            <w:r>
              <w:rPr>
                <w:rStyle w:val="VerbatimChar"/>
              </w:rPr>
              <w:t xml:space="preserve">vol_surface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historical_vol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equity_options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/ prediction-market trader</w:t>
            </w:r>
          </w:p>
        </w:tc>
        <w:tc>
          <w:tcPr/>
          <w:p>
            <w:pPr>
              <w:pStyle w:val="Compact"/>
            </w:pPr>
            <w:r>
              <w:t xml:space="preserve">Event bets</w:t>
            </w:r>
          </w:p>
        </w:tc>
        <w:tc>
          <w:tcPr/>
          <w:p>
            <w:pPr>
              <w:pStyle w:val="Compact"/>
            </w:pPr>
            <w:r>
              <w:t xml:space="preserve">Implied probability, calibration / bias-correction, fair value vs market</w:t>
            </w:r>
          </w:p>
        </w:tc>
        <w:tc>
          <w:tcPr/>
          <w:p>
            <w:pPr>
              <w:pStyle w:val="Compact"/>
            </w:pPr>
            <w:r>
              <w:t xml:space="preserve">Kalshi distributions &amp; orderbooks, the underlying macro, model fair value</w:t>
            </w:r>
          </w:p>
        </w:tc>
        <w:tc>
          <w:tcPr/>
          <w:p>
            <w:pPr>
              <w:pStyle w:val="Compact"/>
            </w:pPr>
            <w:r>
              <w:t xml:space="preserve">Edge vs market; calibration receipt</w:t>
            </w:r>
          </w:p>
        </w:tc>
        <w:tc>
          <w:tcPr/>
          <w:p>
            <w:pPr>
              <w:pStyle w:val="Compact"/>
            </w:pPr>
            <w:r>
              <w:t xml:space="preserve">✅ (</w:t>
            </w:r>
            <w:r>
              <w:rPr>
                <w:rStyle w:val="VerbatimChar"/>
              </w:rPr>
              <w:t xml:space="preserve">kalshi_implied_distribution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pm_service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kalshi_bias_correction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Economist / forecaster</w:t>
            </w:r>
          </w:p>
        </w:tc>
        <w:tc>
          <w:tcPr/>
          <w:p>
            <w:pPr>
              <w:pStyle w:val="Compact"/>
            </w:pPr>
            <w:r>
              <w:t xml:space="preserve">Forecast + surprise read</w:t>
            </w:r>
          </w:p>
        </w:tc>
        <w:tc>
          <w:tcPr/>
          <w:p>
            <w:pPr>
              <w:pStyle w:val="Compact"/>
            </w:pPr>
            <w:r>
              <w:t xml:space="preserve">Nowcasting, surprise-vs-consensus, regime detection</w:t>
            </w:r>
          </w:p>
        </w:tc>
        <w:tc>
          <w:tcPr/>
          <w:p>
            <w:pPr>
              <w:pStyle w:val="Compact"/>
            </w:pPr>
            <w:r>
              <w:t xml:space="preserve">Broad macro, market-implied &amp; survey expectations, prior prints</w:t>
            </w:r>
          </w:p>
        </w:tc>
        <w:tc>
          <w:tcPr/>
          <w:p>
            <w:pPr>
              <w:pStyle w:val="Compact"/>
            </w:pPr>
            <w:r>
              <w:t xml:space="preserve">Forecast; surprise vs expected; regime</w:t>
            </w:r>
          </w:p>
        </w:tc>
        <w:tc>
          <w:tcPr/>
          <w:p>
            <w:pPr>
              <w:pStyle w:val="Compact"/>
            </w:pPr>
            <w:r>
              <w:t xml:space="preserve">◻ (</w:t>
            </w:r>
            <w:r>
              <w:rPr>
                <w:rStyle w:val="VerbatimChar"/>
              </w:rPr>
              <w:t xml:space="preserve">surprise_detector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expectations</w:t>
            </w:r>
            <w:r>
              <w:t xml:space="preserve">; nowcast ✗)</w:t>
            </w:r>
          </w:p>
        </w:tc>
      </w:tr>
    </w:tbl>
    <w:bookmarkEnd w:id="13"/>
    <w:bookmarkStart w:id="14" w:name="Xd3a42e4c652e2421bf70e408882a8f791d78816"/>
    <w:p>
      <w:pPr>
        <w:pStyle w:val="Heading2"/>
      </w:pPr>
      <w:r>
        <w:t xml:space="preserve">What the matrix demands of each data layer</w:t>
      </w:r>
    </w:p>
    <w:p>
      <w:pPr>
        <w:pStyle w:val="FirstParagraph"/>
      </w:pPr>
      <w:r>
        <w:t xml:space="preserve">Reading the union of the rows top-to-bottom yields the requirement spec: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Time-series (raw + derived):</w:t>
      </w:r>
      <w:r>
        <w:t xml:space="preserve"> </w:t>
      </w:r>
      <w:r>
        <w:t xml:space="preserve">every input column must exist as a</w:t>
      </w:r>
      <w:r>
        <w:t xml:space="preserve"> </w:t>
      </w:r>
      <w:r>
        <w:t xml:space="preserve">consistently-classified series — exposed as the full §10 state stack (level,</w:t>
      </w:r>
      <w:r>
        <w:t xml:space="preserve"> </w:t>
      </w:r>
      <w:r>
        <w:t xml:space="preserve">Δ, Δ², context) and including derived quantities (gaps, spreads, differentials,</w:t>
      </w:r>
      <w:r>
        <w:t xml:space="preserve"> </w:t>
      </w:r>
      <w:r>
        <w:t xml:space="preserve">breakevens, real rates) — across</w:t>
      </w:r>
      <w:r>
        <w:t xml:space="preserve"> </w:t>
      </w:r>
      <w:r>
        <w:t xml:space="preserve">rates, inflation, labour, growth, housing, credit, FX, commodities, equities,</w:t>
      </w:r>
      <w:r>
        <w:t xml:space="preserve"> </w:t>
      </w:r>
      <w:r>
        <w:t xml:space="preserve">vol, and prediction markets. (Coverage confirmation and taxonomy fix: §07.)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Relational (config + runs):</w:t>
      </w:r>
      <w:r>
        <w:t xml:space="preserve"> </w:t>
      </w:r>
      <w:r>
        <w:t xml:space="preserve">each model needs a stored</w:t>
      </w:r>
      <w:r>
        <w:t xml:space="preserve"> </w:t>
      </w:r>
      <w:r>
        <w:rPr>
          <w:i/>
          <w:iCs/>
        </w:rPr>
        <w:t xml:space="preserve">specification</w:t>
      </w:r>
      <w:r>
        <w:t xml:space="preserve"> </w:t>
      </w:r>
      <w:r>
        <w:t xml:space="preserve">(params, input-map, assumptions, the decision it informs) and a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record</w:t>
      </w:r>
      <w:r>
        <w:t xml:space="preserve"> </w:t>
      </w:r>
      <w:r>
        <w:t xml:space="preserve">with output points. (</w:t>
      </w:r>
      <w:r>
        <w:rPr>
          <w:rStyle w:val="VerbatimChar"/>
        </w:rPr>
        <w:t xml:space="preserve">fv_runs</w:t>
      </w:r>
      <w:r>
        <w:t xml:space="preserve"> </w:t>
      </w:r>
      <w:r>
        <w:t xml:space="preserve">is the seed; generalize it: §07.)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Graph (the spine):</w:t>
      </w:r>
      <w:r>
        <w:t xml:space="preserve"> </w:t>
      </w:r>
      <w:r>
        <w:rPr>
          <w:rStyle w:val="VerbatimChar"/>
        </w:rPr>
        <w:t xml:space="preserve">DecisionMaker → USES → Model → HAS_SPEC → ModelSpecification → TAKES_INPUT → ModelInput(→DataSeries) → PRODUCES_OUTPUT → ModelOutput; Model → INFORMS_DECISION → Decision</w:t>
      </w:r>
      <w:r>
        <w:t xml:space="preserve">, layered on the existing</w:t>
      </w:r>
      <w:r>
        <w:t xml:space="preserve"> </w:t>
      </w:r>
      <w:r>
        <w:rPr>
          <w:rStyle w:val="VerbatimChar"/>
        </w:rPr>
        <w:t xml:space="preserve">Indicator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TRANSMITS_TO</w:t>
      </w:r>
      <w:r>
        <w:t xml:space="preserve"> </w:t>
      </w:r>
      <w:r>
        <w:t xml:space="preserve">substrate. (Entirely absent today: §03.)</w:t>
      </w:r>
    </w:p>
    <w:bookmarkEnd w:id="14"/>
    <w:bookmarkStart w:id="15" w:name="Xffae9b4b278042aa6b2f4ef6d8313153e10a791"/>
    <w:p>
      <w:pPr>
        <w:pStyle w:val="Heading2"/>
      </w:pPr>
      <w:r>
        <w:t xml:space="preserve">Reading the matrix for the recommendation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~55% of the models already exist</w:t>
      </w:r>
      <w:r>
        <w:t xml:space="preserve"> </w:t>
      </w:r>
      <w:r>
        <w:t xml:space="preserve">in UMD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 </w:t>
      </w:r>
      <w:r>
        <w:t xml:space="preserve">(rows 2, 9, 10 fully;</w:t>
      </w:r>
      <w:r>
        <w:t xml:space="preserve"> </w:t>
      </w:r>
      <w:r>
        <w:t xml:space="preserve">1, 3, 5, 7, 8, 11 partially). The vision is</w:t>
      </w:r>
      <w:r>
        <w:t xml:space="preserve"> </w:t>
      </w:r>
      <w:r>
        <w:rPr>
          <w:i/>
          <w:iCs/>
        </w:rPr>
        <w:t xml:space="preserve">far</w:t>
      </w:r>
      <w:r>
        <w:t xml:space="preserve"> </w:t>
      </w:r>
      <w:r>
        <w:t xml:space="preserve">closer to reach on the data</w:t>
      </w:r>
      <w:r>
        <w:t xml:space="preserve"> </w:t>
      </w:r>
      <w:r>
        <w:t xml:space="preserve">side than the current app suggests — because the app never used them as models.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missing models are additions to the data platform</w:t>
      </w:r>
      <w:r>
        <w:t xml:space="preserve">, not app code: a</w:t>
      </w:r>
      <w:r>
        <w:t xml:space="preserve"> </w:t>
      </w:r>
      <w:r>
        <w:t xml:space="preserve">reaction function, RV models, a treasurer toolkit, structural credit, FX carry,</w:t>
      </w:r>
      <w:r>
        <w:t xml:space="preserve"> </w:t>
      </w:r>
      <w:r>
        <w:t xml:space="preserve">commodity balances, ERP, nowcasting. Each is a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 </w:t>
      </w:r>
      <w:r>
        <w:t xml:space="preserve">implementation + a</w:t>
      </w:r>
      <w:r>
        <w:t xml:space="preserve"> </w:t>
      </w:r>
      <w:r>
        <w:t xml:space="preserve">catalog entry — the same shape as what exists.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FOMC row is one of eleven.</w:t>
      </w:r>
      <w:r>
        <w:t xml:space="preserve"> </w:t>
      </w:r>
      <w:r>
        <w:t xml:space="preserve">Building the matrix first is precisely what</w:t>
      </w:r>
      <w:r>
        <w:t xml:space="preserve"> </w:t>
      </w:r>
      <w:r>
        <w:t xml:space="preserve">prevents the FOMC-default failure (§04): the yardstick is the whole column, and</w:t>
      </w:r>
      <w:r>
        <w:t xml:space="preserve"> </w:t>
      </w:r>
      <w:r>
        <w:t xml:space="preserve">the data layers are declared fit only when every row traces clean (§07, §09).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Lucidate / Horizon Assessment</dc:title>
  <dc:creator/>
  <cp:keywords/>
  <dcterms:created xsi:type="dcterms:W3CDTF">2026-07-10T10:58:49Z</dcterms:created>
  <dcterms:modified xsi:type="dcterms:W3CDTF">2026-07-10T10:58:49Z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