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target-architecture"/>
    <w:p>
      <w:pPr>
        <w:pStyle w:val="Heading1"/>
      </w:pPr>
      <w:r>
        <w:t xml:space="preserve">06 — Target Architecture</w:t>
      </w:r>
    </w:p>
    <w:p>
      <w:pPr>
        <w:pStyle w:val="FirstParagraph"/>
      </w:pPr>
      <w:r>
        <w:t xml:space="preserve">The target is the AI-Economist-Agent pattern (§01), specialised to Lucidate’s</w:t>
      </w:r>
      <w:r>
        <w:t xml:space="preserve"> </w:t>
      </w:r>
      <w:r>
        <w:t xml:space="preserve">remit and consuming the salvaged UMD data layer. Its defining property:</w:t>
      </w:r>
      <w:r>
        <w:t xml:space="preserve"> </w:t>
      </w:r>
      <w:r>
        <w:rPr>
          <w:b/>
          <w:bCs/>
        </w:rPr>
        <w:t xml:space="preserve">the LLM</w:t>
      </w:r>
      <w:r>
        <w:rPr>
          <w:b/>
          <w:bCs/>
        </w:rPr>
        <w:t xml:space="preserve"> </w:t>
      </w:r>
      <w:r>
        <w:rPr>
          <w:b/>
          <w:bCs/>
        </w:rPr>
        <w:t xml:space="preserve">never authors a number.</w:t>
      </w:r>
      <w:r>
        <w:t xml:space="preserve"> </w:t>
      </w:r>
      <w:r>
        <w:t xml:space="preserve">Numbers come from executing catalogued models; rendering</w:t>
      </w:r>
      <w:r>
        <w:t xml:space="preserve"> </w:t>
      </w:r>
      <w:r>
        <w:t xml:space="preserve">is deterministic code; the LLM selects, designs, and narrates.</w:t>
      </w:r>
    </w:p>
    <w:bookmarkStart w:id="12" w:name="the-engine"/>
    <w:p>
      <w:pPr>
        <w:pStyle w:val="Heading2"/>
      </w:pPr>
      <w:r>
        <w:t xml:space="preserve">The engine</w:t>
      </w:r>
    </w:p>
    <w:p>
      <w:pPr>
        <w:pStyle w:val="CaptionedFigure"/>
      </w:pPr>
      <w:r>
        <w:drawing>
          <wp:inline>
            <wp:extent cx="5334000" cy="8817131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06-target-architectur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17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Seven roles, mapped to the paper and to existing assets: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Planner</w:t>
      </w:r>
      <w:r>
        <w:t xml:space="preserve"> </w:t>
      </w:r>
      <w:r>
        <w:t xml:space="preserve">— identifies the decision(s) and the decision-maker(s) (§05).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Model-Selection agent</w:t>
      </w:r>
      <w:r>
        <w:t xml:space="preserve"> </w:t>
      </w:r>
      <w:r>
        <w:t xml:space="preserve">— emits a</w:t>
      </w:r>
      <w:r>
        <w:t xml:space="preserve"> </w:t>
      </w:r>
      <w:r>
        <w:rPr>
          <w:i/>
          <w:iCs/>
        </w:rPr>
        <w:t xml:space="preserve">structured request</w:t>
      </w:r>
      <w:r>
        <w:t xml:space="preserve"> </w:t>
      </w:r>
      <w:r>
        <w:t xml:space="preserve">naming</w:t>
      </w:r>
      <w:r>
        <w:t xml:space="preserve"> </w:t>
      </w:r>
      <w:r>
        <w:rPr>
          <w:rStyle w:val="VerbatimChar"/>
        </w:rPr>
        <w:t xml:space="preserve">ModelSpecification</w:t>
      </w:r>
      <w:r>
        <w:t xml:space="preserve"> </w:t>
      </w:r>
      <w:r>
        <w:t xml:space="preserve">node(s) from the catalog; never invents a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Executor (non-LLM)</w:t>
      </w:r>
      <w:r>
        <w:t xml:space="preserve"> </w:t>
      </w:r>
      <w:r>
        <w:t xml:space="preserve">— binds each</w:t>
      </w:r>
      <w:r>
        <w:t xml:space="preserve"> </w:t>
      </w:r>
      <w:r>
        <w:rPr>
          <w:rStyle w:val="VerbatimChar"/>
        </w:rPr>
        <w:t xml:space="preserve">ModelInput</w:t>
      </w:r>
      <w:r>
        <w:t xml:space="preserve"> </w:t>
      </w:r>
      <w:r>
        <w:t xml:space="preserve">tuple</w:t>
      </w:r>
      <w:r>
        <w:t xml:space="preserve"> </w:t>
      </w:r>
      <w:r>
        <w:rPr>
          <w:rStyle w:val="VerbatimChar"/>
        </w:rPr>
        <w:t xml:space="preserve">{series, order, window}</w:t>
      </w:r>
      <w:r>
        <w:t xml:space="preserve"> </w:t>
      </w:r>
      <w:r>
        <w:t xml:space="preserve">to the required §10 state (level, Δ, Δ², or context), runs the model’s</w:t>
      </w:r>
      <w:r>
        <w:t xml:space="preserve"> </w:t>
      </w:r>
      <w:r>
        <w:t xml:space="preserve">implementation function (reusing UMD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), and writes an output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table</w:t>
      </w:r>
      <w:r>
        <w:t xml:space="preserve"> </w:t>
      </w:r>
      <w:r>
        <w:t xml:space="preserve">— the single source of every number downstream; persisted as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Narrator</w:t>
      </w:r>
      <w:r>
        <w:t xml:space="preserve"> </w:t>
      </w:r>
      <w:r>
        <w:t xml:space="preserve">— writes prose</w:t>
      </w:r>
      <w:r>
        <w:t xml:space="preserve"> </w:t>
      </w:r>
      <w:r>
        <w:rPr>
          <w:i/>
          <w:iCs/>
        </w:rPr>
        <w:t xml:space="preserve">grounded strictly in the output table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renderers</w:t>
      </w:r>
      <w:r>
        <w:t xml:space="preserve"> </w:t>
      </w:r>
      <w:r>
        <w:t xml:space="preserve">— chart and infographic produced by code with the</w:t>
      </w:r>
      <w:r>
        <w:t xml:space="preserve"> </w:t>
      </w:r>
      <w:r>
        <w:t xml:space="preserve">verified numbers injected as literal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Judge</w:t>
      </w:r>
      <w:r>
        <w:t xml:space="preserve"> </w:t>
      </w:r>
      <w:r>
        <w:t xml:space="preserve">— scores model-grounding and numerical discipline; failure routes to</w:t>
      </w:r>
      <w:r>
        <w:t xml:space="preserve"> </w:t>
      </w:r>
      <w:r>
        <w:t xml:space="preserve">revision. (This</w:t>
      </w:r>
      <w:r>
        <w:t xml:space="preserve"> </w:t>
      </w:r>
      <w:r>
        <w:rPr>
          <w:i/>
          <w:iCs/>
        </w:rPr>
        <w:t xml:space="preserve">replaces</w:t>
      </w:r>
      <w:r>
        <w:t xml:space="preserve"> </w:t>
      </w:r>
      <w:r>
        <w:t xml:space="preserve">the current gate battery’s role, but with the right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“done”</w:t>
      </w:r>
      <w:r>
        <w:t xml:space="preserve">: grounded and correct, not merely</w:t>
      </w:r>
      <w:r>
        <w:t xml:space="preserve"> </w:t>
      </w:r>
      <w:r>
        <w:t xml:space="preserve">“passed”</w:t>
      </w:r>
      <w:r>
        <w:t xml:space="preserve">.)</w:t>
      </w:r>
    </w:p>
    <w:bookmarkEnd w:id="12"/>
    <w:bookmarkStart w:id="19" w:name="data-layer-target-schemas"/>
    <w:p>
      <w:pPr>
        <w:pStyle w:val="Heading2"/>
      </w:pPr>
      <w:r>
        <w:t xml:space="preserve">Data-layer target schemas</w:t>
      </w:r>
    </w:p>
    <w:bookmarkStart w:id="16" w:name="X1c88522d15a45d9b16424a85ccbc967ec2d08d0"/>
    <w:p>
      <w:pPr>
        <w:pStyle w:val="Heading3"/>
      </w:pPr>
      <w:r>
        <w:t xml:space="preserve">Graph — the model spine (the piece absent today)</w:t>
      </w:r>
    </w:p>
    <w:p>
      <w:pPr>
        <w:pStyle w:val="CaptionedFigure"/>
      </w:pPr>
      <w:r>
        <w:drawing>
          <wp:inline>
            <wp:extent cx="5334000" cy="1455964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./06-target-architect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Seeded from YAML like templates (</w:t>
      </w:r>
      <w:r>
        <w:rPr>
          <w:rStyle w:val="VerbatimChar"/>
        </w:rPr>
        <w:t xml:space="preserve">scripts/load_*</w:t>
      </w:r>
      <w:r>
        <w:t xml:space="preserve"> </w:t>
      </w:r>
      <w:r>
        <w:t xml:space="preserve">pattern),</w:t>
      </w:r>
      <w:r>
        <w:t xml:space="preserve"> </w:t>
      </w:r>
      <w:r>
        <w:rPr>
          <w:b/>
          <w:bCs/>
        </w:rPr>
        <w:t xml:space="preserve">run and verified</w:t>
      </w:r>
      <w:r>
        <w:t xml:space="preserve"> </w:t>
      </w:r>
      <w:r>
        <w:t xml:space="preserve">(node/edge counts checked; three decision-makers spot-traced by Cypher).</w:t>
      </w:r>
    </w:p>
    <w:bookmarkEnd w:id="16"/>
    <w:bookmarkStart w:id="17" w:name="X964be8130957b6936b5a4b18c2c5bca13f3b991"/>
    <w:p>
      <w:pPr>
        <w:pStyle w:val="Heading3"/>
      </w:pPr>
      <w:r>
        <w:t xml:space="preserve">Relational — model config + runs (generalize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model_config(model_id, spec_json, params_json, input_map_json, decision, version)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model_run(run_id, model_id, run_ts, inputs_snapshot, status)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model_output_point(run_id, name, value, unit, source_computation)</w:t>
      </w:r>
    </w:p>
    <w:p>
      <w:pPr>
        <w:pStyle w:val="FirstParagraph"/>
      </w:pPr>
      <w:r>
        <w:t xml:space="preserve">Every rendered number and every prose figure references a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—</w:t>
      </w:r>
      <w:r>
        <w:t xml:space="preserve"> </w:t>
      </w:r>
      <w:r>
        <w:t xml:space="preserve">the audit trail the Judge checks.</w:t>
      </w:r>
    </w:p>
    <w:bookmarkEnd w:id="17"/>
    <w:bookmarkStart w:id="18" w:name="time-series-canonical-taxonomy"/>
    <w:p>
      <w:pPr>
        <w:pStyle w:val="Heading3"/>
      </w:pPr>
      <w:r>
        <w:t xml:space="preserve">Time-series — canonical taxonomy</w:t>
      </w:r>
    </w:p>
    <w:p>
      <w:pPr>
        <w:pStyle w:val="FirstParagraph"/>
      </w:pPr>
      <w:r>
        <w:t xml:space="preserve">A controlled</w:t>
      </w:r>
      <w:r>
        <w:t xml:space="preserve"> </w:t>
      </w:r>
      <w:r>
        <w:rPr>
          <w:rStyle w:val="VerbatimChar"/>
        </w:rPr>
        <w:t xml:space="preserve">asset_class</w:t>
      </w:r>
      <w:r>
        <w:t xml:space="preserve"> </w:t>
      </w:r>
      <w:r>
        <w:t xml:space="preserve">vocabulary (rates, inflation, labour, growth, housing,</w:t>
      </w:r>
      <w:r>
        <w:t xml:space="preserve"> </w:t>
      </w:r>
      <w:r>
        <w:t xml:space="preserve">credit, fx, commodities, energy, metals, equities, crypto, prediction_markets),</w:t>
      </w:r>
      <w:r>
        <w:t xml:space="preserve"> </w:t>
      </w:r>
      <w:r>
        <w:t xml:space="preserve">plus a one-off normalization migration that collapses the current duplicates and</w:t>
      </w:r>
      <w:r>
        <w:t xml:space="preserve"> </w:t>
      </w:r>
      <w:r>
        <w:t xml:space="preserve">fills the blanks (§03, §07). Enables the Executor to bind model inputs by domain.</w:t>
      </w:r>
    </w:p>
    <w:bookmarkEnd w:id="18"/>
    <w:bookmarkEnd w:id="19"/>
    <w:bookmarkStart w:id="23" w:name="X47df836ba2966f9d94b05bde7548735195dff2b"/>
    <w:p>
      <w:pPr>
        <w:pStyle w:val="Heading2"/>
      </w:pPr>
      <w:r>
        <w:t xml:space="preserve">Deterministic rendering (both surfaces, one principle)</w:t>
      </w:r>
    </w:p>
    <w:p>
      <w:pPr>
        <w:pStyle w:val="CaptionedFigure"/>
      </w:pPr>
      <w:r>
        <w:drawing>
          <wp:inline>
            <wp:extent cx="5334000" cy="659946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./06-target-architecture-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render a model’s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(implied vs actual vs market; the drivers),</w:t>
      </w:r>
      <w:r>
        <w:t xml:space="preserve"> </w:t>
      </w:r>
      <w:r>
        <w:t xml:space="preserve">not raw series. The chart-mechanics work (axis semantics, real builders,</w:t>
      </w:r>
      <w:r>
        <w:t xml:space="preserve"> </w:t>
      </w:r>
      <w:r>
        <w:t xml:space="preserve">editorial helpers) becomes the rendering substrate</w:t>
      </w:r>
      <w:r>
        <w:t xml:space="preserve"> </w:t>
      </w:r>
      <w:r>
        <w:rPr>
          <w:i/>
          <w:iCs/>
        </w:rPr>
        <w:t xml:space="preserve">under</w:t>
      </w:r>
      <w:r>
        <w:t xml:space="preserve"> </w:t>
      </w:r>
      <w:r>
        <w:t xml:space="preserve">the model outputs —</w:t>
      </w:r>
      <w:r>
        <w:t xml:space="preserve"> </w:t>
      </w:r>
      <w:r>
        <w:t xml:space="preserve">necessary but subordinate.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Infographic</w:t>
      </w:r>
      <w:r>
        <w:t xml:space="preserve"> </w:t>
      </w:r>
      <w:r>
        <w:t xml:space="preserve">is produced by the Infogen/LIDA mechanism: verified numbers +</w:t>
      </w:r>
      <w:r>
        <w:t xml:space="preserve"> </w:t>
      </w:r>
      <w:r>
        <w:t xml:space="preserve">LLM-designed layout → deterministic HTML/SVG (or Plotly) → PNG.</w:t>
      </w:r>
      <w:r>
        <w:t xml:space="preserve"> </w:t>
      </w:r>
      <w:r>
        <w:rPr>
          <w:b/>
          <w:bCs/>
        </w:rPr>
        <w:t xml:space="preserve">No diffusion</w:t>
      </w:r>
      <w:r>
        <w:rPr>
          <w:b/>
          <w:bCs/>
        </w:rPr>
        <w:t xml:space="preserve"> </w:t>
      </w:r>
      <w:r>
        <w:rPr>
          <w:b/>
          <w:bCs/>
        </w:rPr>
        <w:t xml:space="preserve">model.</w:t>
      </w:r>
      <w:r>
        <w:t xml:space="preserve"> </w:t>
      </w:r>
      <w:r>
        <w:t xml:space="preserve">This is the litmus test, met by construction.</w:t>
      </w:r>
    </w:p>
    <w:bookmarkEnd w:id="23"/>
    <w:bookmarkStart w:id="24" w:name="X7a92ef4f956986c3cb01c0feebb902db4fa4d59"/>
    <w:p>
      <w:pPr>
        <w:pStyle w:val="Heading2"/>
      </w:pPr>
      <w:r>
        <w:t xml:space="preserve">Why this architecture cannot repeat the failure</w:t>
      </w:r>
    </w:p>
    <w:p>
      <w:pPr>
        <w:pStyle w:val="FirstParagraph"/>
      </w:pPr>
      <w:r>
        <w:t xml:space="preserve">Each documented failure mode (§04) is designed out at the architectural level: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 (§04)</w:t>
            </w:r>
          </w:p>
        </w:tc>
        <w:tc>
          <w:tcPr/>
          <w:p>
            <w:pPr>
              <w:pStyle w:val="Compact"/>
            </w:pPr>
            <w:r>
              <w:t xml:space="preserve">Designed-out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reported as product</w:t>
            </w:r>
          </w:p>
        </w:tc>
        <w:tc>
          <w:tcPr/>
          <w:p>
            <w:pPr>
              <w:pStyle w:val="Compact"/>
            </w:pPr>
            <w:r>
              <w:t xml:space="preserve">The Judge scores</w:t>
            </w:r>
            <w:r>
              <w:t xml:space="preserve"> </w:t>
            </w:r>
            <w:r>
              <w:rPr>
                <w:i/>
                <w:iCs/>
              </w:rPr>
              <w:t xml:space="preserve">grounding &amp; correctness</w:t>
            </w:r>
            <w:r>
              <w:t xml:space="preserve">, and</w:t>
            </w:r>
            <w:r>
              <w:t xml:space="preserve"> </w:t>
            </w:r>
            <w:r>
              <w:t xml:space="preserve">“done”</w:t>
            </w:r>
            <w:r>
              <w:t xml:space="preserve"> </w:t>
            </w:r>
            <w:r>
              <w:t xml:space="preserve">requires a human-viewed artifact (§09)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model in the insight</w:t>
            </w:r>
          </w:p>
        </w:tc>
        <w:tc>
          <w:tcPr/>
          <w:p>
            <w:pPr>
              <w:pStyle w:val="Compact"/>
            </w:pPr>
            <w:r>
              <w:t xml:space="preserve">Model execution is a mandatory pipeline stage; nothing renders without an output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rendering mechanism</w:t>
            </w:r>
          </w:p>
        </w:tc>
        <w:tc>
          <w:tcPr/>
          <w:p>
            <w:pPr>
              <w:pStyle w:val="Compact"/>
            </w:pPr>
            <w:r>
              <w:t xml:space="preserve">Deterministic code for all numeric artifacts; no diffusion, no LLM-authored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Garbage data masked</w:t>
            </w:r>
          </w:p>
        </w:tc>
        <w:tc>
          <w:tcPr/>
          <w:p>
            <w:pPr>
              <w:pStyle w:val="Compact"/>
            </w:pPr>
            <w:r>
              <w:t xml:space="preserve">Plausibility is a hard gate at input binding; the Executor refuses, never clips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FOMC default</w:t>
            </w:r>
          </w:p>
        </w:tc>
        <w:tc>
          <w:tcPr/>
          <w:p>
            <w:pPr>
              <w:pStyle w:val="Compact"/>
            </w:pPr>
            <w:r>
              <w:t xml:space="preserve">The catalog is seeded across the full-remit matrix (§05); selection is generic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as avoidance</w:t>
            </w:r>
          </w:p>
        </w:tc>
        <w:tc>
          <w:tcPr/>
          <w:p>
            <w:pPr>
              <w:pStyle w:val="Compact"/>
            </w:pPr>
            <w:r>
              <w:t xml:space="preserve">The first deliverable is one</w:t>
            </w:r>
            <w:r>
              <w:t xml:space="preserve"> </w:t>
            </w:r>
            <w:r>
              <w:rPr>
                <w:i/>
                <w:iCs/>
              </w:rPr>
              <w:t xml:space="preserve">executed, rendered, looked-at</w:t>
            </w:r>
            <w:r>
              <w:t xml:space="preserve"> </w:t>
            </w:r>
            <w:r>
              <w:t xml:space="preserve">artifact, not a system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2026-07-10T10:58:51Z</dcterms:created>
  <dcterms:modified xsi:type="dcterms:W3CDTF">2026-07-10T10:58:51Z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