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gap-analysis"/>
    <w:p>
      <w:pPr>
        <w:pStyle w:val="Heading1"/>
      </w:pPr>
      <w:r>
        <w:t xml:space="preserve">07 — Gap Analysis</w:t>
      </w:r>
    </w:p>
    <w:p>
      <w:pPr>
        <w:pStyle w:val="FirstParagraph"/>
      </w:pPr>
      <w:r>
        <w:t xml:space="preserve">This scores the three data layers against the</w:t>
      </w:r>
      <w:r>
        <w:t xml:space="preserve"> </w:t>
      </w:r>
      <w:r>
        <w:rPr>
          <w:b/>
          <w:bCs/>
        </w:rPr>
        <w:t xml:space="preserve">union of requirements</w:t>
      </w:r>
      <w:r>
        <w:t xml:space="preserve"> </w:t>
      </w:r>
      <w:r>
        <w:t xml:space="preserve">from the</w:t>
      </w:r>
      <w:r>
        <w:t xml:space="preserve"> </w:t>
      </w:r>
      <w:r>
        <w:t xml:space="preserve">decision-maker × model matrix (§05), using the live audit (§03). Each gap is</w:t>
      </w:r>
      <w:r>
        <w:t xml:space="preserve"> </w:t>
      </w:r>
      <w:r>
        <w:t xml:space="preserve">classified by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— because the recommendation (§08) turns on whether the</w:t>
      </w:r>
      <w:r>
        <w:t xml:space="preserve"> </w:t>
      </w:r>
      <w:r>
        <w:t xml:space="preserve">gaps are additive (fixable in place) or architectural (rot).</w:t>
      </w:r>
    </w:p>
    <w:bookmarkStart w:id="12" w:name="gap-map"/>
    <w:p>
      <w:pPr>
        <w:pStyle w:val="Heading2"/>
      </w:pPr>
      <w:r>
        <w:t xml:space="preserve">Gap map</w:t>
      </w:r>
    </w:p>
    <w:p>
      <w:pPr>
        <w:pStyle w:val="CaptionedFigure"/>
      </w:pPr>
      <w:r>
        <w:drawing>
          <wp:inline>
            <wp:extent cx="5334000" cy="1483178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7-gap-analysi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7" w:name="by-layer"/>
    <w:p>
      <w:pPr>
        <w:pStyle w:val="Heading2"/>
      </w:pPr>
      <w:r>
        <w:t xml:space="preserve">By layer</w:t>
      </w:r>
    </w:p>
    <w:bookmarkStart w:id="13" w:name="Xcbc4b10496b61ad8f1b0b1bb75a64cecb21bbcd"/>
    <w:p>
      <w:pPr>
        <w:pStyle w:val="Heading3"/>
      </w:pPr>
      <w:r>
        <w:t xml:space="preserve">Time-series (TimescaleDB) —</w:t>
      </w:r>
      <w:r>
        <w:t xml:space="preserve"> </w:t>
      </w:r>
      <w:r>
        <w:rPr>
          <w:i/>
          <w:iCs/>
        </w:rPr>
        <w:t xml:space="preserve">additive, low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(from §05 union)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 raw coverage across the full remit</w:t>
            </w:r>
          </w:p>
        </w:tc>
        <w:tc>
          <w:tcPr/>
          <w:p>
            <w:pPr>
              <w:pStyle w:val="Compact"/>
            </w:pPr>
            <w:r>
              <w:t xml:space="preserve">✅ 4,093 series</w:t>
            </w:r>
          </w:p>
        </w:tc>
        <w:tc>
          <w:tcPr/>
          <w:p>
            <w:pPr>
              <w:pStyle w:val="Compact"/>
            </w:pPr>
            <w:r>
              <w:t xml:space="preserve">Confirm each matrix input has a series; a handful of derived inputs (output gap, real rates, differentials) to compute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consistent</w:t>
            </w:r>
            <w:r>
              <w:t xml:space="preserve"> </w:t>
            </w:r>
            <w:r>
              <w:rPr>
                <w:rStyle w:val="VerbatimChar"/>
              </w:rPr>
              <w:t xml:space="preserve">asset_class</w:t>
            </w:r>
            <w:r>
              <w:t xml:space="preserve"> </w:t>
            </w:r>
            <w:r>
              <w:t xml:space="preserve">taxonomy for routing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rates</w:t>
            </w:r>
            <w:r>
              <w:t xml:space="preserve">/</w:t>
            </w:r>
            <w:r>
              <w:rPr>
                <w:rStyle w:val="VerbatimChar"/>
              </w:rPr>
              <w:t xml:space="preserve">interest-rates</w:t>
            </w:r>
            <w:r>
              <w:t xml:space="preserve">/</w:t>
            </w:r>
            <w:r>
              <w:rPr>
                <w:rStyle w:val="VerbatimChar"/>
              </w:rPr>
              <w:t xml:space="preserve">yields</w:t>
            </w:r>
            <w:r>
              <w:t xml:space="preserve">, blanks, dupes</w:t>
            </w:r>
          </w:p>
        </w:tc>
        <w:tc>
          <w:tcPr/>
          <w:p>
            <w:pPr>
              <w:pStyle w:val="Compact"/>
            </w:pPr>
            <w:r>
              <w:t xml:space="preserve">Data-quality, one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input-state stack — level, Δ, Δ², context (§10)</w:t>
            </w:r>
          </w:p>
        </w:tc>
        <w:tc>
          <w:tcPr/>
          <w:p>
            <w:pPr>
              <w:pStyle w:val="Compact"/>
            </w:pPr>
            <w:r>
              <w:t xml:space="preserve">◻</w:t>
            </w:r>
          </w:p>
        </w:tc>
        <w:tc>
          <w:tcPr/>
          <w:p>
            <w:pPr>
              <w:pStyle w:val="Compact"/>
            </w:pPr>
            <w:r>
              <w:t xml:space="preserve">Δ/yoy exist ad hoc in code; no systematic, catalogued transform stack for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normalize the taxonomy (one migration) + compute a short list of</w:t>
      </w:r>
      <w:r>
        <w:t xml:space="preserve"> </w:t>
      </w:r>
      <w:r>
        <w:t xml:space="preserve">missing derived series. No storage re-architecture.</w:t>
      </w:r>
    </w:p>
    <w:bookmarkEnd w:id="13"/>
    <w:bookmarkStart w:id="14" w:name="relational-additive-low-medium-effort"/>
    <w:p>
      <w:pPr>
        <w:pStyle w:val="Heading3"/>
      </w:pPr>
      <w:r>
        <w:t xml:space="preserve">Relational —</w:t>
      </w:r>
      <w:r>
        <w:t xml:space="preserve"> </w:t>
      </w:r>
      <w:r>
        <w:rPr>
          <w:i/>
          <w:iCs/>
        </w:rPr>
        <w:t xml:space="preserve">additive, low-medium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model</w:t>
            </w:r>
            <w:r>
              <w:t xml:space="preserve"> </w:t>
            </w:r>
            <w:r>
              <w:rPr>
                <w:i/>
                <w:iCs/>
              </w:rPr>
              <w:t xml:space="preserve">outputs</w:t>
            </w:r>
            <w:r>
              <w:t xml:space="preserve"> </w:t>
            </w:r>
            <w:r>
              <w:t xml:space="preserve">/ runs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fv_runs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divergence_signals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regime_history</w:t>
            </w:r>
            <w:r>
              <w:t xml:space="preserve">, snapshots</w:t>
            </w:r>
          </w:p>
        </w:tc>
        <w:tc>
          <w:tcPr/>
          <w:p>
            <w:pPr>
              <w:pStyle w:val="Compact"/>
            </w:pPr>
            <w:r>
              <w:t xml:space="preserve">Generalize</w:t>
            </w:r>
            <w:r>
              <w:t xml:space="preserve"> </w:t>
            </w:r>
            <w:r>
              <w:rPr>
                <w:rStyle w:val="VerbatimChar"/>
              </w:rPr>
              <w:t xml:space="preserve">fv_runs</w:t>
            </w:r>
            <w:r>
              <w:t xml:space="preserve"> </w:t>
            </w:r>
            <w:r>
              <w:t xml:space="preserve">to any model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model</w:t>
            </w:r>
            <w:r>
              <w:t xml:space="preserve"> </w:t>
            </w:r>
            <w:r>
              <w:rPr>
                <w:i/>
                <w:iCs/>
              </w:rPr>
              <w:t xml:space="preserve">config</w:t>
            </w:r>
            <w:r>
              <w:t xml:space="preserve"> </w:t>
            </w:r>
            <w:r>
              <w:t xml:space="preserve">(spec, params, input-map, decision)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model_config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model_run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model_output_point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 small, well-precedented schema addition. The pattern already exists.</w:t>
      </w:r>
    </w:p>
    <w:bookmarkEnd w:id="14"/>
    <w:bookmarkStart w:id="15" w:name="graph-neo4j-additive-but-foundational"/>
    <w:p>
      <w:pPr>
        <w:pStyle w:val="Heading3"/>
      </w:pPr>
      <w:r>
        <w:t xml:space="preserve">Graph (Neo4j) —</w:t>
      </w:r>
      <w:r>
        <w:t xml:space="preserve"> </w:t>
      </w:r>
      <w:r>
        <w:rPr>
          <w:i/>
          <w:iCs/>
        </w:rPr>
        <w:t xml:space="preserve">additive but foundational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/ transmission substrate</w:t>
            </w:r>
          </w:p>
        </w:tc>
        <w:tc>
          <w:tcPr/>
          <w:p>
            <w:pPr>
              <w:pStyle w:val="Compact"/>
            </w:pPr>
            <w:r>
              <w:t xml:space="preserve">✅ 603</w:t>
            </w:r>
            <w:r>
              <w:t xml:space="preserve"> </w:t>
            </w:r>
            <w:r>
              <w:rPr>
                <w:rStyle w:val="VerbatimChar"/>
              </w:rPr>
              <w:t xml:space="preserve">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TRANSMITS_TO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Reused as-is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DecisionMaker → Model → Spec → Input → Output → Decision</w:t>
            </w:r>
            <w:r>
              <w:t xml:space="preserve"> </w:t>
            </w:r>
            <w:r>
              <w:t xml:space="preserve">spine</w:t>
            </w:r>
          </w:p>
        </w:tc>
        <w:tc>
          <w:tcPr/>
          <w:p>
            <w:pPr>
              <w:pStyle w:val="Compact"/>
            </w:pPr>
            <w:r>
              <w:t xml:space="preserve">✗ (zero nodes)</w:t>
            </w:r>
          </w:p>
        </w:tc>
        <w:tc>
          <w:tcPr/>
          <w:p>
            <w:pPr>
              <w:pStyle w:val="Compact"/>
            </w:pPr>
            <w:r>
              <w:t xml:space="preserve">Seed the entire catalog</w:t>
            </w:r>
          </w:p>
        </w:tc>
        <w:tc>
          <w:tcPr/>
          <w:p>
            <w:pPr>
              <w:pStyle w:val="Compact"/>
            </w:pPr>
            <w:r>
              <w:t xml:space="preserve">Additive (new nodes/edges on existing substrate); foundational for the vision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largest gap by importance, but still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— it adds a</w:t>
      </w:r>
      <w:r>
        <w:t xml:space="preserve"> </w:t>
      </w:r>
      <w:r>
        <w:t xml:space="preserve">subgraph on top of a sound substrate; it does not require re-modelling the graph.</w:t>
      </w:r>
    </w:p>
    <w:bookmarkEnd w:id="15"/>
    <w:bookmarkStart w:id="16" w:name="models-umd-analysis-half-present"/>
    <w:p>
      <w:pPr>
        <w:pStyle w:val="Heading3"/>
      </w:pPr>
      <w:r>
        <w:t xml:space="preserve">Models (UMD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) —</w:t>
      </w:r>
      <w:r>
        <w:t xml:space="preserve"> </w:t>
      </w:r>
      <w:r>
        <w:rPr>
          <w:i/>
          <w:iCs/>
        </w:rPr>
        <w:t xml:space="preserve">half present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Present (✅ / ◻)</w:t>
            </w:r>
          </w:p>
        </w:tc>
        <w:tc>
          <w:tcPr/>
          <w:p>
            <w:pPr>
              <w:pStyle w:val="Compact"/>
            </w:pPr>
            <w:r>
              <w:t xml:space="preserve">Missing (✗)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 fair value, rate path, rate divergence, vol surface, historical vol, Kalshi implied distribution, bias-correction, density, spx fair value, derived spreads, expectations, surprise detector</w:t>
            </w:r>
          </w:p>
        </w:tc>
        <w:tc>
          <w:tcPr/>
          <w:p>
            <w:pPr>
              <w:pStyle w:val="Compact"/>
            </w:pPr>
            <w:r>
              <w:t xml:space="preserve">Reaction function, RV models, treasurer toolkit, structural credit/PD, FX carry/PPP, commodity supply-demand balance, equity risk premium, nowcasting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missing models are new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implementations + catalog</w:t>
      </w:r>
      <w:r>
        <w:t xml:space="preserve"> </w:t>
      </w:r>
      <w:r>
        <w:t xml:space="preserve">entries — the same shape as the ~55% that already exist. This is data-platform</w:t>
      </w:r>
      <w:r>
        <w:t xml:space="preserve"> </w:t>
      </w:r>
      <w:r>
        <w:t xml:space="preserve">work, not app work.</w:t>
      </w:r>
    </w:p>
    <w:bookmarkEnd w:id="16"/>
    <w:bookmarkEnd w:id="17"/>
    <w:bookmarkStart w:id="18" w:name="the-critical-read"/>
    <w:p>
      <w:pPr>
        <w:pStyle w:val="Heading2"/>
      </w:pPr>
      <w:r>
        <w:t xml:space="preserve">The critical read</w:t>
      </w:r>
    </w:p>
    <w:p>
      <w:pPr>
        <w:pStyle w:val="FirstParagraph"/>
      </w:pPr>
      <w:r>
        <w:t xml:space="preserve">Every gap above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new series, a taxonomy migration, a config</w:t>
      </w:r>
      <w:r>
        <w:t xml:space="preserve"> </w:t>
      </w:r>
      <w:r>
        <w:t xml:space="preserve">schema, catalog nodes, more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models.</w:t>
      </w:r>
      <w:r>
        <w:t xml:space="preserve"> </w:t>
      </w:r>
      <w:r>
        <w:rPr>
          <w:b/>
          <w:bCs/>
        </w:rPr>
        <w:t xml:space="preserve">None is architectural rot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data platform.</w:t>
      </w:r>
      <w:r>
        <w:t xml:space="preserve"> </w:t>
      </w:r>
      <w:r>
        <w:t xml:space="preserve">The data layers are</w:t>
      </w:r>
      <w:r>
        <w:t xml:space="preserve"> </w:t>
      </w:r>
      <w:r>
        <w:rPr>
          <w:i/>
          <w:iCs/>
        </w:rPr>
        <w:t xml:space="preserve">not fit today</w:t>
      </w:r>
      <w:r>
        <w:t xml:space="preserve">, but they become fit through</w:t>
      </w:r>
      <w:r>
        <w:t xml:space="preserve"> </w:t>
      </w:r>
      <w:r>
        <w:t xml:space="preserve">bounded extension, not redesign. This is the empirical basis for</w:t>
      </w:r>
      <w:r>
        <w:t xml:space="preserve"> </w:t>
      </w:r>
      <w:r>
        <w:rPr>
          <w:b/>
          <w:bCs/>
        </w:rPr>
        <w:t xml:space="preserve">salvaging the</w:t>
      </w:r>
      <w:r>
        <w:rPr>
          <w:b/>
          <w:bCs/>
        </w:rPr>
        <w:t xml:space="preserve"> </w:t>
      </w:r>
      <w:r>
        <w:rPr>
          <w:b/>
          <w:bCs/>
        </w:rPr>
        <w:t xml:space="preserve">data platform</w:t>
      </w:r>
      <w:r>
        <w:t xml:space="preserve"> </w:t>
      </w:r>
      <w:r>
        <w:t xml:space="preserve">(§08).</w:t>
      </w:r>
    </w:p>
    <w:p>
      <w:pPr>
        <w:pStyle w:val="BodyText"/>
      </w:pPr>
      <w:r>
        <w:t xml:space="preserve">The single gap that is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— the absence of a model-execution spine —</w:t>
      </w:r>
      <w:r>
        <w:t xml:space="preserve"> </w:t>
      </w:r>
      <w:r>
        <w:t xml:space="preserve">lives in the</w:t>
      </w:r>
      <w:r>
        <w:t xml:space="preserve"> </w:t>
      </w:r>
      <w:r>
        <w:rPr>
          <w:b/>
          <w:bCs/>
        </w:rPr>
        <w:t xml:space="preserve">application</w:t>
      </w:r>
      <w:r>
        <w:t xml:space="preserve">, whose entire design presumes it away (§02, §04).</w:t>
      </w:r>
      <w:r>
        <w:t xml:space="preserve"> </w:t>
      </w:r>
      <w:r>
        <w:t xml:space="preserve">That is the empirical basis for</w:t>
      </w:r>
      <w:r>
        <w:t xml:space="preserve"> </w:t>
      </w:r>
      <w:r>
        <w:rPr>
          <w:b/>
          <w:bCs/>
        </w:rPr>
        <w:t xml:space="preserve">restarting the application</w:t>
      </w:r>
      <w:r>
        <w:t xml:space="preserve"> </w:t>
      </w:r>
      <w:r>
        <w:t xml:space="preserve">(§08).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2026-07-10T10:58:52Z</dcterms:created>
  <dcterms:modified xsi:type="dcterms:W3CDTF">2026-07-10T10:58:52Z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