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Lucidate / Horizon Assessment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5" w:name="salvage-vs-rewrite-the-decision"/>
    <w:p>
      <w:pPr>
        <w:pStyle w:val="Heading1"/>
      </w:pPr>
      <w:r>
        <w:t xml:space="preserve">08 — Salvage vs Rewrite (the decision)</w:t>
      </w:r>
    </w:p>
    <w:p>
      <w:pPr>
        <w:pStyle w:val="FirstParagraph"/>
      </w:pPr>
      <w:r>
        <w:t xml:space="preserve">This is the document the assessment exists to produce. It reaches the</w:t>
      </w:r>
      <w:r>
        <w:t xml:space="preserve"> </w:t>
      </w:r>
      <w:r>
        <w:t xml:space="preserve">recommendation through a component inventory, three candidate paths, and a scored</w:t>
      </w:r>
      <w:r>
        <w:t xml:space="preserve"> </w:t>
      </w:r>
      <w:r>
        <w:t xml:space="preserve">comparison — not a hunch.</w:t>
      </w:r>
    </w:p>
    <w:bookmarkStart w:id="14" w:name="Xe7e5ad1fa4edf051758716d5fcd54e06632b048"/>
    <w:p>
      <w:pPr>
        <w:pStyle w:val="Heading2"/>
      </w:pPr>
      <w:r>
        <w:t xml:space="preserve">Step 1 — Component inventory (reuse / refactor / discard)</w:t>
      </w:r>
    </w:p>
    <w:p>
      <w:pPr>
        <w:pStyle w:val="FirstParagraph"/>
      </w:pPr>
      <w:r>
        <w:t xml:space="preserve">Each component is classified against the target architecture (§06).</w:t>
      </w:r>
    </w:p>
    <w:bookmarkStart w:id="9" w:name="data-platform-umd-55700-loc"/>
    <w:p>
      <w:pPr>
        <w:pStyle w:val="Heading3"/>
      </w:pPr>
      <w:r>
        <w:t xml:space="preserve">Data platform — UMD (55,700 LOC)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LOC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 providers</w:t>
            </w:r>
          </w:p>
        </w:tc>
        <w:tc>
          <w:tcPr/>
          <w:p>
            <w:pPr>
              <w:pStyle w:val="Compact"/>
            </w:pPr>
            <w:r>
              <w:t xml:space="preserve">13.4k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Reuse</w:t>
            </w:r>
          </w:p>
        </w:tc>
        <w:tc>
          <w:tcPr/>
          <w:p>
            <w:pPr>
              <w:pStyle w:val="Compact"/>
            </w:pPr>
            <w:r>
              <w:t xml:space="preserve">Sound</w:t>
            </w:r>
            <w:r>
              <w:t xml:space="preserve"> </w:t>
            </w:r>
            <w:r>
              <w:rPr>
                <w:rStyle w:val="VerbatimChar"/>
              </w:rPr>
              <w:t xml:space="preserve">BaseProvider</w:t>
            </w:r>
            <w:r>
              <w:t xml:space="preserve"> </w:t>
            </w:r>
            <w:r>
              <w:t xml:space="preserve">pattern; the data ingestion is the asset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 analysis models</w:t>
            </w:r>
          </w:p>
        </w:tc>
        <w:tc>
          <w:tcPr/>
          <w:p>
            <w:pPr>
              <w:pStyle w:val="Compact"/>
            </w:pPr>
            <w:r>
              <w:t xml:space="preserve">11.6k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Reuse</w:t>
            </w:r>
          </w:p>
        </w:tc>
        <w:tc>
          <w:tcPr/>
          <w:p>
            <w:pPr>
              <w:pStyle w:val="Compact"/>
            </w:pPr>
            <w:r>
              <w:t xml:space="preserve">The vision’s</w:t>
            </w:r>
            <w:r>
              <w:t xml:space="preserve"> </w:t>
            </w:r>
            <w:r>
              <w:t xml:space="preserve">“implementation functions”</w:t>
            </w:r>
            <w:r>
              <w:t xml:space="preserve"> </w:t>
            </w:r>
            <w:r>
              <w:t xml:space="preserve">already exist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 services</w:t>
            </w:r>
          </w:p>
        </w:tc>
        <w:tc>
          <w:tcPr/>
          <w:p>
            <w:pPr>
              <w:pStyle w:val="Compact"/>
            </w:pPr>
            <w:r>
              <w:t xml:space="preserve">18.2k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Reuse / refactor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pm_service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expectations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surprise_detector</w:t>
            </w:r>
            <w:r>
              <w:t xml:space="preserve"> </w:t>
            </w:r>
            <w:r>
              <w:t xml:space="preserve">reused; orchestration lightly refactored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MarketDataAPI</w:t>
            </w:r>
          </w:p>
        </w:tc>
        <w:tc>
          <w:tcPr/>
          <w:p>
            <w:pPr>
              <w:pStyle w:val="Compact"/>
            </w:pPr>
            <w:r>
              <w:t xml:space="preserve">2.8k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Reuse</w:t>
            </w:r>
          </w:p>
        </w:tc>
        <w:tc>
          <w:tcPr/>
          <w:p>
            <w:pPr>
              <w:pStyle w:val="Compact"/>
            </w:pPr>
            <w:r>
              <w:t xml:space="preserve">The clean seam the new app consumes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TimescaleDB + relational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Reuse + extend</w:t>
            </w:r>
          </w:p>
        </w:tc>
        <w:tc>
          <w:tcPr/>
          <w:p>
            <w:pPr>
              <w:pStyle w:val="Compact"/>
            </w:pPr>
            <w:r>
              <w:t xml:space="preserve">Normalize taxonomy; add model-config store (§07)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Neo4j substrate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Reuse + extend</w:t>
            </w:r>
          </w:p>
        </w:tc>
        <w:tc>
          <w:tcPr/>
          <w:p>
            <w:pPr>
              <w:pStyle w:val="Compact"/>
            </w:pPr>
            <w:r>
              <w:t xml:space="preserve">Keep indicator ontology; seed the model spine (§07)</w:t>
            </w:r>
          </w:p>
        </w:tc>
      </w:tr>
    </w:tbl>
    <w:p>
      <w:pPr>
        <w:pStyle w:val="BodyText"/>
      </w:pPr>
      <w:r>
        <w:rPr>
          <w:b/>
          <w:bCs/>
        </w:rPr>
        <w:t xml:space="preserve">UMD reuse rate: ~95%.</w:t>
      </w:r>
      <w:r>
        <w:t xml:space="preserve"> </w:t>
      </w:r>
      <w:r>
        <w:t xml:space="preserve">The additions are extensions, not replacements.</w:t>
      </w:r>
    </w:p>
    <w:bookmarkEnd w:id="9"/>
    <w:bookmarkStart w:id="13" w:name="application-horizon2-32300-loc"/>
    <w:p>
      <w:pPr>
        <w:pStyle w:val="Heading3"/>
      </w:pPr>
      <w:r>
        <w:t xml:space="preserve">Application — Horizon2 (32,300 LOC)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LOC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 engine (</w:t>
            </w:r>
            <w:r>
              <w:rPr>
                <w:rStyle w:val="VerbatimChar"/>
              </w:rPr>
              <w:t xml:space="preserve">build_charts</w:t>
            </w:r>
            <w:r>
              <w:t xml:space="preserve">, 5-grammar)</w:t>
            </w:r>
          </w:p>
        </w:tc>
        <w:tc>
          <w:tcPr/>
          <w:p>
            <w:pPr>
              <w:pStyle w:val="Compact"/>
            </w:pPr>
            <w:r>
              <w:t xml:space="preserve">9.5k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Discard</w:t>
            </w:r>
          </w:p>
        </w:tc>
        <w:tc>
          <w:tcPr/>
          <w:p>
            <w:pPr>
              <w:pStyle w:val="Compact"/>
            </w:pPr>
            <w:r>
              <w:t xml:space="preserve">Wrong mechanism; structurally caps insight; renders raw series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Infographic (</w:t>
            </w:r>
            <w:r>
              <w:rPr>
                <w:rStyle w:val="VerbatimChar"/>
              </w:rPr>
              <w:t xml:space="preserve">gpt-image-2</w:t>
            </w:r>
            <w:r>
              <w:t xml:space="preserve"> </w:t>
            </w:r>
            <w:r>
              <w:t xml:space="preserve">path)</w:t>
            </w:r>
          </w:p>
        </w:tc>
        <w:tc>
          <w:tcPr/>
          <w:p>
            <w:pPr>
              <w:pStyle w:val="Compact"/>
            </w:pPr>
            <w:r>
              <w:t xml:space="preserve">~1.5k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Discard</w:t>
            </w:r>
          </w:p>
        </w:tc>
        <w:tc>
          <w:tcPr/>
          <w:p>
            <w:pPr>
              <w:pStyle w:val="Compact"/>
            </w:pPr>
            <w:r>
              <w:t xml:space="preserve">Diffusion model cannot render exact numbers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chart_planner</w:t>
            </w:r>
          </w:p>
        </w:tc>
        <w:tc>
          <w:tcPr/>
          <w:p>
            <w:pPr>
              <w:pStyle w:val="Compact"/>
            </w:pPr>
            <w:r>
              <w:t xml:space="preserve">~1k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Discard</w:t>
            </w:r>
          </w:p>
        </w:tc>
        <w:tc>
          <w:tcPr/>
          <w:p>
            <w:pPr>
              <w:pStyle w:val="Compact"/>
            </w:pPr>
            <w:r>
              <w:t xml:space="preserve">Picks series+shape; no model reasoning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gates</w:t>
            </w:r>
          </w:p>
        </w:tc>
        <w:tc>
          <w:tcPr/>
          <w:p>
            <w:pPr>
              <w:pStyle w:val="Compact"/>
            </w:pPr>
            <w:r>
              <w:t xml:space="preserve">~3k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Refactor / lift ideas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t xml:space="preserve">“numbers must trace”</w:t>
            </w:r>
            <w:r>
              <w:t xml:space="preserve"> </w:t>
            </w:r>
            <w:r>
              <w:t xml:space="preserve">discipline is worth keeping; the gate-</w:t>
            </w:r>
            <w:r>
              <w:rPr>
                <w:i/>
                <w:iCs/>
              </w:rPr>
              <w:t xml:space="preserve">culture</w:t>
            </w:r>
            <w:r>
              <w:t xml:space="preserve"> </w:t>
            </w:r>
            <w:r>
              <w:t xml:space="preserve">is not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write_article + prompts</w:t>
            </w:r>
          </w:p>
        </w:tc>
        <w:tc>
          <w:tcPr/>
          <w:p>
            <w:pPr>
              <w:pStyle w:val="Compact"/>
            </w:pPr>
            <w:r>
              <w:t xml:space="preserve">~4.5k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Lift selectively</w:t>
            </w:r>
          </w:p>
        </w:tc>
        <w:tc>
          <w:tcPr/>
          <w:p>
            <w:pPr>
              <w:pStyle w:val="Compact"/>
            </w:pPr>
            <w:r>
              <w:t xml:space="preserve">Prose craft &amp; SoTA prompt patterns are reusable; the grounding target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(DOCX / Substack HTML)</w:t>
            </w:r>
          </w:p>
        </w:tc>
        <w:tc>
          <w:tcPr/>
          <w:p>
            <w:pPr>
              <w:pStyle w:val="Compact"/>
            </w:pPr>
            <w:r>
              <w:t xml:space="preserve">~2.7k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Reuse (lift-out)</w:t>
            </w:r>
          </w:p>
        </w:tc>
        <w:tc>
          <w:tcPr/>
          <w:p>
            <w:pPr>
              <w:pStyle w:val="Compact"/>
            </w:pPr>
            <w:r>
              <w:t xml:space="preserve">Genuinely good, architecture-agnostic; portable to a new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LangGraph orchestration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Reuse the know-how</w:t>
            </w:r>
          </w:p>
        </w:tc>
        <w:tc>
          <w:tcPr/>
          <w:p>
            <w:pPr>
              <w:pStyle w:val="Compact"/>
            </w:pPr>
            <w:r>
              <w:t xml:space="preserve">The team’s LangGraph competence transfers; the specific graph does not</w:t>
            </w:r>
          </w:p>
        </w:tc>
      </w:tr>
    </w:tbl>
    <w:p>
      <w:pPr>
        <w:pStyle w:val="BodyText"/>
      </w:pPr>
      <w:r>
        <w:rPr>
          <w:b/>
          <w:bCs/>
        </w:rPr>
        <w:t xml:space="preserve">Horizon2 reuse rate: ~20–25%</w:t>
      </w:r>
      <w:r>
        <w:t xml:space="preserve">, and mostly as</w:t>
      </w:r>
      <w:r>
        <w:t xml:space="preserve"> </w:t>
      </w:r>
      <w:r>
        <w:rPr>
          <w:i/>
          <w:iCs/>
        </w:rPr>
        <w:t xml:space="preserve">lift-outs</w:t>
      </w:r>
      <w:r>
        <w:t xml:space="preserve"> </w:t>
      </w:r>
      <w:r>
        <w:t xml:space="preserve">(export, prompt</w:t>
      </w:r>
      <w:r>
        <w:t xml:space="preserve"> </w:t>
      </w:r>
      <w:r>
        <w:t xml:space="preserve">craft, discipline) rather than a running spine. The two flagship surfaces (charts,</w:t>
      </w:r>
      <w:r>
        <w:t xml:space="preserve"> </w:t>
      </w:r>
      <w:r>
        <w:t xml:space="preserve">infographic — ~11k LOC, ~35% of the app) are discards.</w:t>
      </w:r>
    </w:p>
    <w:p>
      <w:pPr>
        <w:pStyle w:val="CaptionedFigure"/>
      </w:pPr>
      <w:r>
        <w:drawing>
          <wp:inline>
            <wp:extent cx="5334000" cy="1299482"/>
            <wp:effectExtent b="0" l="0" r="0" t="0"/>
            <wp:docPr descr="diagram" title="" id="11" name="Picture"/>
            <a:graphic>
              <a:graphicData uri="http://schemas.openxmlformats.org/drawingml/2006/picture">
                <pic:pic>
                  <pic:nvPicPr>
                    <pic:cNvPr descr="./08-salvage-vs-rewrite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9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13"/>
    <w:bookmarkEnd w:id="14"/>
    <w:bookmarkStart w:id="15" w:name="step-2-three-candidate-paths"/>
    <w:p>
      <w:pPr>
        <w:pStyle w:val="Heading2"/>
      </w:pPr>
      <w:r>
        <w:t xml:space="preserve">Step 2 — Three candidate paths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Path A — Patch Horizon2 in place.</w:t>
      </w:r>
      <w:r>
        <w:t xml:space="preserve"> </w:t>
      </w:r>
      <w:r>
        <w:t xml:space="preserve">Bolt a model engine, cross-section</w:t>
      </w:r>
      <w:r>
        <w:t xml:space="preserve"> </w:t>
      </w:r>
      <w:r>
        <w:t xml:space="preserve">charts, and a code-based infographic onto the existing pipeline.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Path B — New application project on the salvaged data layer.</w:t>
      </w:r>
      <w:r>
        <w:t xml:space="preserve"> </w:t>
      </w:r>
      <w:r>
        <w:t xml:space="preserve">Keep and extend</w:t>
      </w:r>
      <w:r>
        <w:t xml:space="preserve"> </w:t>
      </w:r>
      <w:r>
        <w:t xml:space="preserve">UMD; build a new app repo whose architecture is the model→data→insight engine</w:t>
      </w:r>
      <w:r>
        <w:t xml:space="preserve"> </w:t>
      </w:r>
      <w:r>
        <w:t xml:space="preserve">from day one; lift out the few good Horizon2 parts (export, prompts, discipline).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Path C — Full greenfield.</w:t>
      </w:r>
      <w:r>
        <w:t xml:space="preserve"> </w:t>
      </w:r>
      <w:r>
        <w:t xml:space="preserve">Rebuild everything, including UMD.</w:t>
      </w:r>
    </w:p>
    <w:bookmarkEnd w:id="15"/>
    <w:bookmarkStart w:id="19" w:name="step-3-scored-comparison"/>
    <w:p>
      <w:pPr>
        <w:pStyle w:val="Heading2"/>
      </w:pPr>
      <w:r>
        <w:t xml:space="preserve">Step 3 — Scored comparison</w:t>
      </w:r>
    </w:p>
    <w:p>
      <w:pPr>
        <w:pStyle w:val="FirstParagraph"/>
      </w:pPr>
      <w:r>
        <w:t xml:space="preserve">Scores 1 (poor) – 5 (excellent). Weight reflects owner priorities: fit to the</w:t>
      </w:r>
      <w:r>
        <w:t xml:space="preserve"> </w:t>
      </w:r>
      <w:r>
        <w:t xml:space="preserve">vision and data-asset preservation dominate.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 (weight)</w:t>
            </w:r>
          </w:p>
        </w:tc>
        <w:tc>
          <w:tcPr/>
          <w:p>
            <w:pPr>
              <w:pStyle w:val="Compact"/>
            </w:pPr>
            <w:r>
              <w:t xml:space="preserve">A: Patch</w:t>
            </w:r>
          </w:p>
        </w:tc>
        <w:tc>
          <w:tcPr/>
          <w:p>
            <w:pPr>
              <w:pStyle w:val="Compact"/>
            </w:pPr>
            <w:r>
              <w:t xml:space="preserve">B: New app / salvage data</w:t>
            </w:r>
          </w:p>
        </w:tc>
        <w:tc>
          <w:tcPr/>
          <w:p>
            <w:pPr>
              <w:pStyle w:val="Compact"/>
            </w:pPr>
            <w:r>
              <w:t xml:space="preserve">C: Greenfield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Fit to model→data→insight vision (×3)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Escapes the embedded gate-culture (×2)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Preserves the data asset (×3)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 / time to first</w:t>
            </w:r>
            <w:r>
              <w:t xml:space="preserve"> </w:t>
            </w:r>
            <w:r>
              <w:rPr>
                <w:i/>
                <w:iCs/>
              </w:rPr>
              <w:t xml:space="preserve">quality</w:t>
            </w:r>
            <w:r>
              <w:t xml:space="preserve"> </w:t>
            </w:r>
            <w:r>
              <w:t xml:space="preserve">artifact (×2)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(regression, half-migrated state) (×2)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Leverages team’s existing know-how (×1)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Weighted total (max 65)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</w:t>
            </w:r>
          </w:p>
        </w:tc>
      </w:tr>
    </w:tbl>
    <w:p>
      <w:pPr>
        <w:pStyle w:val="BodyText"/>
      </w:pPr>
      <w:r>
        <w:rPr>
          <w:b/>
          <w:bCs/>
        </w:rPr>
        <w:t xml:space="preserve">Path B wins decisively.</w:t>
      </w:r>
      <w:r>
        <w:t xml:space="preserve"> </w:t>
      </w:r>
      <w:r>
        <w:t xml:space="preserve">Path A is dragged down by fighting an architecture and</w:t>
      </w:r>
      <w:r>
        <w:t xml:space="preserve"> </w:t>
      </w:r>
      <w:r>
        <w:t xml:space="preserve">culture built around the vision’s absence — a half-migrated pipeline is the worst</w:t>
      </w:r>
      <w:r>
        <w:t xml:space="preserve"> </w:t>
      </w:r>
      <w:r>
        <w:t xml:space="preserve">of both worlds. Path C throws away UMD, a 55.7k-LOC, three-database asset, for no</w:t>
      </w:r>
      <w:r>
        <w:t xml:space="preserve"> </w:t>
      </w:r>
      <w:r>
        <w:t xml:space="preserve">architectural benefit over B.</w:t>
      </w:r>
    </w:p>
    <w:p>
      <w:pPr>
        <w:pStyle w:val="CaptionedFigure"/>
      </w:pPr>
      <w:r>
        <w:drawing>
          <wp:inline>
            <wp:extent cx="5334000" cy="2354035"/>
            <wp:effectExtent b="0" l="0" r="0" t="0"/>
            <wp:docPr descr="diagram" title="" id="17" name="Picture"/>
            <a:graphic>
              <a:graphicData uri="http://schemas.openxmlformats.org/drawingml/2006/picture">
                <pic:pic>
                  <pic:nvPicPr>
                    <pic:cNvPr descr="./08-salvage-vs-rewrite-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4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19"/>
    <w:bookmarkStart w:id="23" w:name="step-4-the-recommendation"/>
    <w:p>
      <w:pPr>
        <w:pStyle w:val="Heading2"/>
      </w:pPr>
      <w:r>
        <w:t xml:space="preserve">Step 4 — The recommendation</w:t>
      </w:r>
    </w:p>
    <w:p>
      <w:pPr>
        <w:pStyle w:val="BlockText"/>
      </w:pPr>
      <w:r>
        <w:rPr>
          <w:b/>
          <w:bCs/>
        </w:rPr>
        <w:t xml:space="preserve">Salvage the data platform (UMD) in full and extend it; do not patch Horizon2 —</w:t>
      </w:r>
      <w:r>
        <w:rPr>
          <w:b/>
          <w:bCs/>
        </w:rPr>
        <w:t xml:space="preserve"> </w:t>
      </w:r>
      <w:r>
        <w:rPr>
          <w:b/>
          <w:bCs/>
        </w:rPr>
        <w:t xml:space="preserve">stand up a new application project on the salvaged data layer, built as the</w:t>
      </w:r>
      <w:r>
        <w:rPr>
          <w:b/>
          <w:bCs/>
        </w:rPr>
        <w:t xml:space="preserve"> </w:t>
      </w:r>
      <w:r>
        <w:rPr>
          <w:b/>
          <w:bCs/>
        </w:rPr>
        <w:t xml:space="preserve">model→data→insight engine from the first commit, and lift out only Horizon2’s</w:t>
      </w:r>
      <w:r>
        <w:rPr>
          <w:b/>
          <w:bCs/>
        </w:rPr>
        <w:t xml:space="preserve"> </w:t>
      </w:r>
      <w:r>
        <w:rPr>
          <w:b/>
          <w:bCs/>
        </w:rPr>
        <w:t xml:space="preserve">few architecture-agnostic strengths (DOCX/Substack export, prompt craft, the</w:t>
      </w:r>
      <w:r>
        <w:rPr>
          <w:b/>
          <w:bCs/>
        </w:rPr>
        <w:t xml:space="preserve"> </w:t>
      </w:r>
      <w:r>
        <w:rPr>
          <w:b/>
          <w:bCs/>
        </w:rPr>
        <w:t xml:space="preserve">numbers-must-trace discipline). Keep Horizon2 in the repo, read-only, as the</w:t>
      </w:r>
      <w:r>
        <w:rPr>
          <w:b/>
          <w:bCs/>
        </w:rPr>
        <w:t xml:space="preserve"> </w:t>
      </w:r>
      <w:r>
        <w:rPr>
          <w:b/>
          <w:bCs/>
        </w:rPr>
        <w:t xml:space="preserve">documented</w:t>
      </w:r>
      <w:r>
        <w:rPr>
          <w:b/>
          <w:bCs/>
        </w:rPr>
        <w:t xml:space="preserve"> </w:t>
      </w:r>
      <w:r>
        <w:rPr>
          <w:b/>
          <w:bCs/>
        </w:rPr>
        <w:t xml:space="preserve">“learning template of what went wrong.”</w:t>
      </w:r>
    </w:p>
    <w:bookmarkStart w:id="20" w:name="why-not-just-salvage-path-a"/>
    <w:p>
      <w:pPr>
        <w:pStyle w:val="Heading3"/>
      </w:pPr>
      <w:r>
        <w:t xml:space="preserve">Why not</w:t>
      </w:r>
      <w:r>
        <w:t xml:space="preserve"> </w:t>
      </w:r>
      <w:r>
        <w:t xml:space="preserve">“just salvage”</w:t>
      </w:r>
      <w:r>
        <w:t xml:space="preserve"> </w:t>
      </w:r>
      <w:r>
        <w:t xml:space="preserve">(Path A)</w:t>
      </w:r>
    </w:p>
    <w:p>
      <w:pPr>
        <w:pStyle w:val="FirstParagraph"/>
      </w:pPr>
      <w:r>
        <w:t xml:space="preserve">The temptation is to keep the working pipeline and add the missing pieces. But the</w:t>
      </w:r>
      <w:r>
        <w:t xml:space="preserve"> </w:t>
      </w:r>
      <w:r>
        <w:t xml:space="preserve">missing piece is the</w:t>
      </w:r>
      <w:r>
        <w:t xml:space="preserve"> </w:t>
      </w:r>
      <w:r>
        <w:rPr>
          <w:i/>
          <w:iCs/>
        </w:rPr>
        <w:t xml:space="preserve">spine</w:t>
      </w:r>
      <w:r>
        <w:t xml:space="preserve"> </w:t>
      </w:r>
      <w:r>
        <w:t xml:space="preserve">— model execution — and Horizon2’s every node</w:t>
      </w:r>
      <w:r>
        <w:t xml:space="preserve"> </w:t>
      </w:r>
      <w:r>
        <w:t xml:space="preserve">presumes its absence. Retrofitting a spine into a body built without one is slower</w:t>
      </w:r>
      <w:r>
        <w:t xml:space="preserve"> </w:t>
      </w:r>
      <w:r>
        <w:t xml:space="preserve">and riskier than a new body, and it carries the gate-centric culture (§04) forward</w:t>
      </w:r>
      <w:r>
        <w:t xml:space="preserve"> </w:t>
      </w:r>
      <w:r>
        <w:t xml:space="preserve">intact. The</w:t>
      </w:r>
      <w:r>
        <w:t xml:space="preserve"> </w:t>
      </w:r>
      <w:r>
        <w:rPr>
          <w:rStyle w:val="VerbatimChar"/>
        </w:rPr>
        <w:t xml:space="preserve">dishonest_validation_panel</w:t>
      </w:r>
      <w:r>
        <w:t xml:space="preserve"> </w:t>
      </w:r>
      <w:r>
        <w:t xml:space="preserve">is the warning: the culture is in the</w:t>
      </w:r>
      <w:r>
        <w:t xml:space="preserve"> </w:t>
      </w:r>
      <w:r>
        <w:t xml:space="preserve">code.</w:t>
      </w:r>
    </w:p>
    <w:bookmarkEnd w:id="20"/>
    <w:bookmarkStart w:id="21" w:name="why-not-rewrite-everything-path-c"/>
    <w:p>
      <w:pPr>
        <w:pStyle w:val="Heading3"/>
      </w:pPr>
      <w:r>
        <w:t xml:space="preserve">Why not</w:t>
      </w:r>
      <w:r>
        <w:t xml:space="preserve"> </w:t>
      </w:r>
      <w:r>
        <w:t xml:space="preserve">“rewrite everything”</w:t>
      </w:r>
      <w:r>
        <w:t xml:space="preserve"> </w:t>
      </w:r>
      <w:r>
        <w:t xml:space="preserve">(Path C)</w:t>
      </w:r>
    </w:p>
    <w:p>
      <w:pPr>
        <w:pStyle w:val="FirstParagraph"/>
      </w:pPr>
      <w:r>
        <w:t xml:space="preserve">UMD is not the problem. It is 55.7k LOC of sound ingestion and real models, three</w:t>
      </w:r>
      <w:r>
        <w:t xml:space="preserve"> </w:t>
      </w:r>
      <w:r>
        <w:t xml:space="preserve">mature databases, and 4,093 series — the exact foundation the vision needs, and</w:t>
      </w:r>
      <w:r>
        <w:t xml:space="preserve"> </w:t>
      </w:r>
      <w:r>
        <w:t xml:space="preserve">the thing the owner rightly insisted we validate first. Rebuilding it would be the</w:t>
      </w:r>
      <w:r>
        <w:t xml:space="preserve"> </w:t>
      </w:r>
      <w:r>
        <w:t xml:space="preserve">most expensive possible way to make no architectural progress.</w:t>
      </w:r>
    </w:p>
    <w:bookmarkEnd w:id="21"/>
    <w:bookmarkStart w:id="22" w:name="the-nuance-that-matters"/>
    <w:p>
      <w:pPr>
        <w:pStyle w:val="Heading3"/>
      </w:pPr>
      <w:r>
        <w:t xml:space="preserve">The nuance that matters</w:t>
      </w:r>
    </w:p>
    <w:p>
      <w:pPr>
        <w:pStyle w:val="FirstParagraph"/>
      </w:pPr>
      <w:r>
        <w:t xml:space="preserve">This is not</w:t>
      </w:r>
      <w:r>
        <w:t xml:space="preserve"> </w:t>
      </w:r>
      <w:r>
        <w:t xml:space="preserve">“the project failed, start over.”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“the expensive, sound half</w:t>
      </w:r>
      <w:r>
        <w:rPr>
          <w:b/>
          <w:bCs/>
        </w:rPr>
        <w:t xml:space="preserve"> </w:t>
      </w:r>
      <w:r>
        <w:rPr>
          <w:b/>
          <w:bCs/>
        </w:rPr>
        <w:t xml:space="preserve">succeeded and is kept; the mis-architected half is restarted.”</w:t>
      </w:r>
      <w:r>
        <w:t xml:space="preserve"> </w:t>
      </w:r>
      <w:r>
        <w:t xml:space="preserve">The data platform</w:t>
      </w:r>
      <w:r>
        <w:t xml:space="preserve"> </w:t>
      </w:r>
      <w:r>
        <w:t xml:space="preserve">is the asset; the application is the learning template. Naming them separately is</w:t>
      </w:r>
      <w:r>
        <w:t xml:space="preserve"> </w:t>
      </w:r>
      <w:r>
        <w:t xml:space="preserve">the single most important output of this assessment.</w:t>
      </w:r>
    </w:p>
    <w:bookmarkEnd w:id="22"/>
    <w:bookmarkEnd w:id="23"/>
    <w:bookmarkStart w:id="24" w:name="what-this-decision-unblocks"/>
    <w:p>
      <w:pPr>
        <w:pStyle w:val="Heading2"/>
      </w:pPr>
      <w:r>
        <w:t xml:space="preserve">What this decision unblocks</w:t>
      </w:r>
    </w:p>
    <w:p>
      <w:pPr>
        <w:pStyle w:val="FirstParagraph"/>
      </w:pPr>
      <w:r>
        <w:t xml:space="preserve">Nothing in the application is built until the</w:t>
      </w:r>
      <w:r>
        <w:t xml:space="preserve"> </w:t>
      </w:r>
      <w:r>
        <w:rPr>
          <w:b/>
          <w:bCs/>
        </w:rPr>
        <w:t xml:space="preserve">data-layer conviction test</w:t>
      </w:r>
      <w:r>
        <w:t xml:space="preserve"> </w:t>
      </w:r>
      <w:r>
        <w:t xml:space="preserve">(§09)</w:t>
      </w:r>
      <w:r>
        <w:t xml:space="preserve"> </w:t>
      </w:r>
      <w:r>
        <w:t xml:space="preserve">passes — the taxonomy is clean, the model-config store exists, the graph spine is</w:t>
      </w:r>
      <w:r>
        <w:t xml:space="preserve"> </w:t>
      </w:r>
      <w:r>
        <w:t xml:space="preserve">seeded, and every decision-maker in the matrix (§05) traces cleanly through the</w:t>
      </w:r>
      <w:r>
        <w:t xml:space="preserve"> </w:t>
      </w:r>
      <w:r>
        <w:t xml:space="preserve">three layers. Only then does the new application’s first, single,</w:t>
      </w:r>
      <w:r>
        <w:t xml:space="preserve"> </w:t>
      </w:r>
      <w:r>
        <w:rPr>
          <w:i/>
          <w:iCs/>
        </w:rPr>
        <w:t xml:space="preserve">looked-at</w:t>
      </w:r>
      <w:r>
        <w:t xml:space="preserve"> </w:t>
      </w:r>
      <w:r>
        <w:t xml:space="preserve">quality artifact get built.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Lucidate / Horizon Assessment</dc:title>
  <dc:creator/>
  <cp:keywords/>
  <dcterms:created xsi:type="dcterms:W3CDTF">2026-07-10T10:58:53Z</dcterms:created>
  <dcterms:modified xsi:type="dcterms:W3CDTF">2026-07-10T10:58:53Z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