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Lucidate / Horizon Assessment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roadmap-recommended-path"/>
    <w:p>
      <w:pPr>
        <w:pStyle w:val="Heading1"/>
      </w:pPr>
      <w:r>
        <w:t xml:space="preserve">09 — Roadmap (recommended path)</w:t>
      </w:r>
    </w:p>
    <w:p>
      <w:pPr>
        <w:pStyle w:val="FirstParagraph"/>
      </w:pPr>
      <w:r>
        <w:t xml:space="preserve">Path B:</w:t>
      </w:r>
      <w:r>
        <w:t xml:space="preserve"> </w:t>
      </w:r>
      <w:r>
        <w:rPr>
          <w:b/>
          <w:bCs/>
        </w:rPr>
        <w:t xml:space="preserve">salvage + extend UMD; build a new application on top of it.</w:t>
      </w:r>
      <w:r>
        <w:t xml:space="preserve"> </w:t>
      </w:r>
      <w:r>
        <w:t xml:space="preserve">The</w:t>
      </w:r>
      <w:r>
        <w:t xml:space="preserve"> </w:t>
      </w:r>
      <w:r>
        <w:t xml:space="preserve">sequence is deliberately data-layer-first, with a hard gate — the</w:t>
      </w:r>
      <w:r>
        <w:t xml:space="preserve"> </w:t>
      </w:r>
      <w:r>
        <w:rPr>
          <w:i/>
          <w:iCs/>
        </w:rPr>
        <w:t xml:space="preserve">conviction</w:t>
      </w:r>
      <w:r>
        <w:rPr>
          <w:i/>
          <w:iCs/>
        </w:rPr>
        <w:t xml:space="preserve"> </w:t>
      </w:r>
      <w:r>
        <w:rPr>
          <w:i/>
          <w:iCs/>
        </w:rPr>
        <w:t xml:space="preserve">test</w:t>
      </w:r>
      <w:r>
        <w:t xml:space="preserve"> </w:t>
      </w:r>
      <w:r>
        <w:t xml:space="preserve">— before any application code. No use-case (least of all FOMC) is built</w:t>
      </w:r>
      <w:r>
        <w:t xml:space="preserve"> </w:t>
      </w:r>
      <w:r>
        <w:t xml:space="preserve">until the data layers serve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of them.</w:t>
      </w:r>
    </w:p>
    <w:p>
      <w:pPr>
        <w:pStyle w:val="CaptionedFigure"/>
      </w:pPr>
      <w:r>
        <w:drawing>
          <wp:inline>
            <wp:extent cx="5334000" cy="898071"/>
            <wp:effectExtent b="0" l="0" r="0" t="0"/>
            <wp:docPr descr="diagram" title="" id="10" name="Picture"/>
            <a:graphic>
              <a:graphicData uri="http://schemas.openxmlformats.org/drawingml/2006/picture">
                <pic:pic>
                  <pic:nvPicPr>
                    <pic:cNvPr descr="./09-roadmap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98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</w:t>
      </w:r>
    </w:p>
    <w:bookmarkStart w:id="12" w:name="phase-1-data-layer-fitness-no-app-code"/>
    <w:p>
      <w:pPr>
        <w:pStyle w:val="Heading2"/>
      </w:pPr>
      <w:r>
        <w:t xml:space="preserve">Phase 1 — Data-layer fitness (no app code)</w:t>
      </w:r>
    </w:p>
    <w:p>
      <w:pPr>
        <w:pStyle w:val="FirstParagraph"/>
      </w:pPr>
      <w:r>
        <w:t xml:space="preserve">The only work until the gate. All in UMD.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 the model catalog</w:t>
      </w:r>
      <w:r>
        <w:t xml:space="preserve"> </w:t>
      </w:r>
      <w:r>
        <w:t xml:space="preserve">as YAML seeds covering the §05 matrix, using the</w:t>
      </w:r>
      <w:r>
        <w:t xml:space="preserve"> </w:t>
      </w:r>
      <w:r>
        <w:rPr>
          <w:b/>
          <w:bCs/>
        </w:rPr>
        <w:t xml:space="preserve">literature review (§11)</w:t>
      </w:r>
      <w:r>
        <w:t xml:space="preserve"> </w:t>
      </w:r>
      <w:r>
        <w:t xml:space="preserve">as the source content: for each persona, its</w:t>
      </w:r>
      <w:r>
        <w:t xml:space="preserve"> </w:t>
      </w:r>
      <w:r>
        <w:t xml:space="preserve">model(s), spec (form/equations/assumptions/params),</w:t>
      </w:r>
      <w:r>
        <w:t xml:space="preserve"> </w:t>
      </w:r>
      <w:r>
        <w:rPr>
          <w:b/>
          <w:bCs/>
        </w:rPr>
        <w:t xml:space="preserve">input tuples</w:t>
      </w:r>
      <w:r>
        <w:t xml:space="preserve"> </w:t>
      </w:r>
      <w:r>
        <w:rPr>
          <w:rStyle w:val="VerbatimChar"/>
        </w:rPr>
        <w:t xml:space="preserve">{series, order, window}</w:t>
      </w:r>
      <w:r>
        <w:t xml:space="preserve"> </w:t>
      </w:r>
      <w:r>
        <w:t xml:space="preserve">per the §10 state stack, outputs, the model’s</w:t>
      </w:r>
      <w:r>
        <w:t xml:space="preserve"> </w:t>
      </w:r>
      <w:r>
        <w:rPr>
          <w:rStyle w:val="VerbatimChar"/>
        </w:rPr>
        <w:t xml:space="preserve">asserts</w:t>
      </w:r>
      <w:r>
        <w:t xml:space="preserve">/</w:t>
      </w:r>
      <w:r>
        <w:rPr>
          <w:rStyle w:val="VerbatimChar"/>
        </w:rPr>
        <w:t xml:space="preserve">interpretation</w:t>
      </w:r>
      <w:r>
        <w:t xml:space="preserve"> </w:t>
      </w:r>
      <w:r>
        <w:t xml:space="preserve">text, and the decision informed. Where the model</w:t>
      </w:r>
      <w:r>
        <w:t xml:space="preserve"> </w:t>
      </w:r>
      <w:r>
        <w:t xml:space="preserve">exists 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, point</w:t>
      </w:r>
      <w:r>
        <w:t xml:space="preserve"> </w:t>
      </w:r>
      <w:r>
        <w:rPr>
          <w:rStyle w:val="VerbatimChar"/>
        </w:rPr>
        <w:t xml:space="preserve">IMPLEMENTED_BY</w:t>
      </w:r>
      <w:r>
        <w:t xml:space="preserve"> </w:t>
      </w:r>
      <w:r>
        <w:t xml:space="preserve">at it; else record a build stub.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Normalize the time-series taxonomy AND build the transform stack (§10):</w:t>
      </w:r>
      <w:r>
        <w:t xml:space="preserve"> </w:t>
      </w:r>
      <w:r>
        <w:t xml:space="preserve">a</w:t>
      </w:r>
      <w:r>
        <w:t xml:space="preserve"> </w:t>
      </w:r>
      <w:r>
        <w:t xml:space="preserve">controlled</w:t>
      </w:r>
      <w:r>
        <w:t xml:space="preserve"> </w:t>
      </w:r>
      <w:r>
        <w:rPr>
          <w:rStyle w:val="VerbatimChar"/>
        </w:rPr>
        <w:t xml:space="preserve">asset_class</w:t>
      </w:r>
      <w:r>
        <w:t xml:space="preserve"> </w:t>
      </w:r>
      <w:r>
        <w:t xml:space="preserve">vocabulary + a one-off migration collapsing duplicates</w:t>
      </w:r>
      <w:r>
        <w:t xml:space="preserve"> </w:t>
      </w:r>
      <w:r>
        <w:t xml:space="preserve">and filling blanks (§07); plus a systematic, catalogued transform stack (level,</w:t>
      </w:r>
      <w:r>
        <w:t xml:space="preserve"> </w:t>
      </w:r>
      <w:r>
        <w:t xml:space="preserve">Δ, Δ², context/z-score, diffusion, surprise) so any model input can be served</w:t>
      </w:r>
      <w:r>
        <w:t xml:space="preserve"> </w:t>
      </w:r>
      <w:r>
        <w:t xml:space="preserve">at the derivative order it requires. Add the missing derived series (gaps, real</w:t>
      </w:r>
      <w:r>
        <w:t xml:space="preserve"> </w:t>
      </w:r>
      <w:r>
        <w:t xml:space="preserve">rates, differentials).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Add the relational model store:</w:t>
      </w:r>
      <w:r>
        <w:t xml:space="preserve"> </w:t>
      </w:r>
      <w:r>
        <w:rPr>
          <w:rStyle w:val="VerbatimChar"/>
        </w:rPr>
        <w:t xml:space="preserve">model_config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model_run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model_output_point</w:t>
      </w:r>
      <w:r>
        <w:t xml:space="preserve"> </w:t>
      </w:r>
      <w:r>
        <w:t xml:space="preserve">(generalize</w:t>
      </w:r>
      <w:r>
        <w:t xml:space="preserve"> </w:t>
      </w:r>
      <w:r>
        <w:rPr>
          <w:rStyle w:val="VerbatimChar"/>
        </w:rPr>
        <w:t xml:space="preserve">fv_runs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Seed the graph model spine</w:t>
      </w:r>
      <w:r>
        <w:t xml:space="preserve"> </w:t>
      </w:r>
      <w:r>
        <w:t xml:space="preserve">(§06) from the YAML — and</w:t>
      </w:r>
      <w:r>
        <w:t xml:space="preserve"> </w:t>
      </w:r>
      <w:r>
        <w:rPr>
          <w:b/>
          <w:bCs/>
        </w:rPr>
        <w:t xml:space="preserve">verify it loaded</w:t>
      </w:r>
      <w:r>
        <w:t xml:space="preserve"> </w:t>
      </w:r>
      <w:r>
        <w:t xml:space="preserve">(node/edge counts; spot-trace three personas by Cypher).</w:t>
      </w:r>
      <w:r>
        <w:t xml:space="preserve"> </w:t>
      </w:r>
      <w:r>
        <w:rPr>
          <w:i/>
          <w:iCs/>
        </w:rPr>
        <w:t xml:space="preserve">Seeds are run, not</w:t>
      </w:r>
      <w:r>
        <w:rPr>
          <w:i/>
          <w:iCs/>
        </w:rPr>
        <w:t xml:space="preserve"> </w:t>
      </w:r>
      <w:r>
        <w:rPr>
          <w:i/>
          <w:iCs/>
        </w:rPr>
        <w:t xml:space="preserve">just written</w:t>
      </w:r>
      <w:r>
        <w:t xml:space="preserve"> </w:t>
      </w:r>
      <w:r>
        <w:t xml:space="preserve">— a lesson from this project.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Build the missing high-priority models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analysis/</w:t>
      </w:r>
      <w:r>
        <w:t xml:space="preserve"> </w:t>
      </w:r>
      <w:r>
        <w:t xml:space="preserve">(reaction function</w:t>
      </w:r>
      <w:r>
        <w:t xml:space="preserve"> </w:t>
      </w:r>
      <w:r>
        <w:t xml:space="preserve">first only because it is broadly reused, then RV, credit, FX carry, commodity</w:t>
      </w:r>
      <w:r>
        <w:t xml:space="preserve"> </w:t>
      </w:r>
      <w:r>
        <w:t xml:space="preserve">balance, ERP, nowcast), each as an implementation function + catalog entry.</w:t>
      </w:r>
    </w:p>
    <w:bookmarkEnd w:id="12"/>
    <w:bookmarkStart w:id="13" w:name="gate-the-conviction-test"/>
    <w:p>
      <w:pPr>
        <w:pStyle w:val="Heading2"/>
      </w:pPr>
      <w:r>
        <w:t xml:space="preserve">GATE — the conviction test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b/>
          <w:bCs/>
        </w:rPr>
        <w:t xml:space="preserve">every</w:t>
      </w:r>
      <w:r>
        <w:t xml:space="preserve"> </w:t>
      </w:r>
      <w:r>
        <w:t xml:space="preserve">decision-maker in the matrix, prove the trace end-to-end through the</w:t>
      </w:r>
      <w:r>
        <w:t xml:space="preserve"> </w:t>
      </w:r>
      <w:r>
        <w:t xml:space="preserve">three layers:</w:t>
      </w:r>
    </w:p>
    <w:p>
      <w:pPr>
        <w:pStyle w:val="BodyText"/>
      </w:pPr>
      <w:r>
        <w:rPr>
          <w:rStyle w:val="VerbatimChar"/>
        </w:rPr>
        <w:t xml:space="preserve">Decision → Model (graph spec) → inputs present &amp; correctly classified (time-series) → implementation exists (analysis/) → outputs storable (relational) → relationships present (graph)</w:t>
      </w:r>
    </w:p>
    <w:p>
      <w:pPr>
        <w:pStyle w:val="BodyText"/>
      </w:pPr>
      <w:r>
        <w:t xml:space="preserve">A machine-checkable report lists, per persona, PASS or the exact missing link.</w:t>
      </w:r>
      <w:r>
        <w:t xml:space="preserve"> </w:t>
      </w:r>
      <w:r>
        <w:rPr>
          <w:b/>
          <w:bCs/>
        </w:rPr>
        <w:t xml:space="preserve">The data layers are declared fit only when the report is N/N.</w:t>
      </w:r>
      <w:r>
        <w:t xml:space="preserve"> </w:t>
      </w:r>
      <w:r>
        <w:t xml:space="preserve">Application work</w:t>
      </w:r>
      <w:r>
        <w:t xml:space="preserve"> </w:t>
      </w:r>
      <w:r>
        <w:t xml:space="preserve">does not begin before this. This is the owner’s gate, made concrete and testable.</w:t>
      </w:r>
    </w:p>
    <w:bookmarkEnd w:id="13"/>
    <w:bookmarkStart w:id="14" w:name="phase-2-new-application-the-engine-spine"/>
    <w:p>
      <w:pPr>
        <w:pStyle w:val="Heading2"/>
      </w:pPr>
      <w:r>
        <w:t xml:space="preserve">Phase 2 — New application: the engine spine</w:t>
      </w:r>
    </w:p>
    <w:p>
      <w:pPr>
        <w:pStyle w:val="FirstParagraph"/>
      </w:pPr>
      <w:r>
        <w:t xml:space="preserve">A new repository (e.g. </w:t>
      </w:r>
      <w:r>
        <w:rPr>
          <w:rStyle w:val="VerbatimChar"/>
        </w:rPr>
        <w:t xml:space="preserve">horizon3</w:t>
      </w:r>
      <w:r>
        <w:t xml:space="preserve">) consuming UMD via the existing seam. Build the</w:t>
      </w:r>
      <w:r>
        <w:t xml:space="preserve"> </w:t>
      </w:r>
      <w:r>
        <w:t xml:space="preserve">seven-role engine (§06) using the</w:t>
      </w:r>
      <w:r>
        <w:t xml:space="preserve"> </w:t>
      </w:r>
      <w:r>
        <w:rPr>
          <w:b/>
          <w:bCs/>
        </w:rPr>
        <w:t xml:space="preserve">SoTA agentic patterns and context-engineering</w:t>
      </w:r>
      <w:r>
        <w:rPr>
          <w:b/>
          <w:bCs/>
        </w:rPr>
        <w:t xml:space="preserve"> </w:t>
      </w:r>
      <w:r>
        <w:rPr>
          <w:b/>
          <w:bCs/>
        </w:rPr>
        <w:t xml:space="preserve">of §12</w:t>
      </w:r>
      <w:r>
        <w:t xml:space="preserve"> </w:t>
      </w:r>
      <w:r>
        <w:t xml:space="preserve">— structured-output number-grounding, the evaluator-optimizer Judge, and</w:t>
      </w:r>
      <w:r>
        <w:t xml:space="preserve"> </w:t>
      </w:r>
      <w:r>
        <w:t xml:space="preserve">the Neo4j model spine doubling as the agents’ structured long-term memory — as</w:t>
      </w:r>
      <w:r>
        <w:t xml:space="preserve"> </w:t>
      </w:r>
      <w:r>
        <w:t xml:space="preserve">thin, honest stages:</w:t>
      </w:r>
    </w:p>
    <w:p>
      <w:pPr>
        <w:pStyle w:val="Compact"/>
        <w:numPr>
          <w:ilvl w:val="0"/>
          <w:numId w:val="1002"/>
        </w:numPr>
      </w:pPr>
      <w:r>
        <w:t xml:space="preserve">Planner → Model-Selection agent (structured request against the catalog) →</w:t>
      </w:r>
      <w:r>
        <w:t xml:space="preserve"> </w:t>
      </w:r>
      <w:r>
        <w:t xml:space="preserve">Executor (non-LLM, binds + runs, refuses implausible inputs) → output table →</w:t>
      </w:r>
      <w:r>
        <w:t xml:space="preserve"> </w:t>
      </w:r>
      <w:r>
        <w:t xml:space="preserve">Narrator (grounded) → deterministic renderers → Judge.</w:t>
      </w:r>
    </w:p>
    <w:p>
      <w:pPr>
        <w:pStyle w:val="Compact"/>
        <w:numPr>
          <w:ilvl w:val="0"/>
          <w:numId w:val="1002"/>
        </w:numPr>
      </w:pPr>
      <w:r>
        <w:t xml:space="preserve">Lift out from Horizon2, deliberately: the DOCX/Substack export, the prompt</w:t>
      </w:r>
      <w:r>
        <w:t xml:space="preserve"> </w:t>
      </w:r>
      <w:r>
        <w:t xml:space="preserve">craft, and the numbers-must-trace discipline. Nothing else is ported.</w:t>
      </w:r>
    </w:p>
    <w:bookmarkEnd w:id="14"/>
    <w:bookmarkStart w:id="15" w:name="X4bc2c83558bd491cd821c150958cfd85f29b078"/>
    <w:p>
      <w:pPr>
        <w:pStyle w:val="Heading2"/>
      </w:pPr>
      <w:r>
        <w:t xml:space="preserve">Phase 3 — One excellent artifact (the real proof)</w:t>
      </w:r>
    </w:p>
    <w:p>
      <w:pPr>
        <w:pStyle w:val="FirstParagraph"/>
      </w:pPr>
      <w:r>
        <w:t xml:space="preserve">Produce, for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decision on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subject, the full chain: a selected model,</w:t>
      </w:r>
      <w:r>
        <w:t xml:space="preserve"> </w:t>
      </w:r>
      <w:r>
        <w:t xml:space="preserve">executed on UMD, a</w:t>
      </w:r>
      <w:r>
        <w:t xml:space="preserve"> </w:t>
      </w:r>
      <w:r>
        <w:rPr>
          <w:b/>
          <w:bCs/>
        </w:rPr>
        <w:t xml:space="preserve">model-grounded chart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code-rendered infographic with</w:t>
      </w:r>
      <w:r>
        <w:rPr>
          <w:b/>
          <w:bCs/>
        </w:rPr>
        <w:t xml:space="preserve"> </w:t>
      </w:r>
      <w:r>
        <w:rPr>
          <w:b/>
          <w:bCs/>
        </w:rPr>
        <w:t xml:space="preserve">verified numbers</w:t>
      </w:r>
      <w:r>
        <w:t xml:space="preserve">, and prose grounded in the output table. Then</w:t>
      </w:r>
      <w:r>
        <w:t xml:space="preserve"> </w:t>
      </w:r>
      <w:r>
        <w:rPr>
          <w:b/>
          <w:bCs/>
        </w:rPr>
        <w:t xml:space="preserve">open it and</w:t>
      </w:r>
      <w:r>
        <w:rPr>
          <w:b/>
          <w:bCs/>
        </w:rPr>
        <w:t xml:space="preserve"> </w:t>
      </w:r>
      <w:r>
        <w:rPr>
          <w:b/>
          <w:bCs/>
        </w:rPr>
        <w:t xml:space="preserve">judge it by eye</w:t>
      </w:r>
      <w:r>
        <w:t xml:space="preserve"> </w:t>
      </w:r>
      <w:r>
        <w:t xml:space="preserve">against the FT / Economist bar — with the owner.</w:t>
      </w:r>
      <w:r>
        <w:t xml:space="preserve"> </w:t>
      </w:r>
      <w:r>
        <w:t xml:space="preserve">“Done”</w:t>
      </w:r>
      <w:r>
        <w:t xml:space="preserve"> </w:t>
      </w:r>
      <w:r>
        <w:t xml:space="preserve">means it</w:t>
      </w:r>
      <w:r>
        <w:t xml:space="preserve"> </w:t>
      </w:r>
      <w:r>
        <w:t xml:space="preserve">looks good, not that a gate passed. Iterate on the artifact until it is genuinely</w:t>
      </w:r>
      <w:r>
        <w:t xml:space="preserve"> </w:t>
      </w:r>
      <w:r>
        <w:t xml:space="preserve">excellent. This is the litmus test, met properly.</w:t>
      </w:r>
    </w:p>
    <w:bookmarkEnd w:id="15"/>
    <w:bookmarkStart w:id="16" w:name="phase-4-generalise-across-the-matrix"/>
    <w:p>
      <w:pPr>
        <w:pStyle w:val="Heading2"/>
      </w:pPr>
      <w:r>
        <w:t xml:space="preserve">Phase 4 — Generalise across the matrix</w:t>
      </w:r>
    </w:p>
    <w:p>
      <w:pPr>
        <w:pStyle w:val="FirstParagraph"/>
      </w:pPr>
      <w:r>
        <w:t xml:space="preserve">Only after one artifact is proven excellent, extend selection/execution/rendering</w:t>
      </w:r>
      <w:r>
        <w:t xml:space="preserve"> </w:t>
      </w:r>
      <w:r>
        <w:t xml:space="preserve">across the other decision-makers, one persona at a time, each judged by eye. The</w:t>
      </w:r>
      <w:r>
        <w:t xml:space="preserve"> </w:t>
      </w:r>
      <w:r>
        <w:t xml:space="preserve">matrix (§05) is the coverage checklist; breadth is earned, not assumed.</w:t>
      </w:r>
    </w:p>
    <w:bookmarkEnd w:id="16"/>
    <w:bookmarkStart w:id="17" w:name="Xd57759f9fa2a93be1953bfb09ce59de89d7b46f"/>
    <w:p>
      <w:pPr>
        <w:pStyle w:val="Heading2"/>
      </w:pPr>
      <w:r>
        <w:t xml:space="preserve">Guardrails carried from the post-mortem (§04)</w:t>
      </w:r>
    </w:p>
    <w:p>
      <w:pPr>
        <w:pStyle w:val="Compact"/>
        <w:numPr>
          <w:ilvl w:val="0"/>
          <w:numId w:val="1003"/>
        </w:numPr>
      </w:pPr>
      <w:r>
        <w:t xml:space="preserve">Every phase ends with a</w:t>
      </w:r>
      <w:r>
        <w:t xml:space="preserve"> </w:t>
      </w:r>
      <w:r>
        <w:rPr>
          <w:i/>
          <w:iCs/>
        </w:rPr>
        <w:t xml:space="preserve">looked-at</w:t>
      </w:r>
      <w:r>
        <w:t xml:space="preserve"> </w:t>
      </w:r>
      <w:r>
        <w:t xml:space="preserve">artifact or a</w:t>
      </w:r>
      <w:r>
        <w:t xml:space="preserve"> </w:t>
      </w:r>
      <w:r>
        <w:rPr>
          <w:i/>
          <w:iCs/>
        </w:rPr>
        <w:t xml:space="preserve">machine-checked</w:t>
      </w:r>
      <w:r>
        <w:t xml:space="preserve"> </w:t>
      </w:r>
      <w:r>
        <w:t xml:space="preserve">fact — never</w:t>
      </w:r>
      <w:r>
        <w:t xml:space="preserve"> </w:t>
      </w:r>
      <w:r>
        <w:t xml:space="preserve">“the gate passed.”</w:t>
      </w:r>
    </w:p>
    <w:p>
      <w:pPr>
        <w:pStyle w:val="Compact"/>
        <w:numPr>
          <w:ilvl w:val="0"/>
          <w:numId w:val="1003"/>
        </w:numPr>
      </w:pPr>
      <w:r>
        <w:t xml:space="preserve">No diffusion model touches a numeric artifact.</w:t>
      </w:r>
    </w:p>
    <w:p>
      <w:pPr>
        <w:pStyle w:val="Compact"/>
        <w:numPr>
          <w:ilvl w:val="0"/>
          <w:numId w:val="1003"/>
        </w:numPr>
      </w:pPr>
      <w:r>
        <w:t xml:space="preserve">No number is authored by an LLM.</w:t>
      </w:r>
    </w:p>
    <w:p>
      <w:pPr>
        <w:pStyle w:val="Compact"/>
        <w:numPr>
          <w:ilvl w:val="0"/>
          <w:numId w:val="1003"/>
        </w:numPr>
      </w:pPr>
      <w:r>
        <w:t xml:space="preserve">Bad data is refused at the boundary, never clipped-and-shipped.</w:t>
      </w:r>
    </w:p>
    <w:p>
      <w:pPr>
        <w:pStyle w:val="Compact"/>
        <w:numPr>
          <w:ilvl w:val="0"/>
          <w:numId w:val="1003"/>
        </w:numPr>
      </w:pPr>
      <w:r>
        <w:t xml:space="preserve">Generality is proven on the full remit; FOMC is one row.</w:t>
      </w:r>
    </w:p>
    <w:bookmarkEnd w:id="17"/>
    <w:bookmarkStart w:id="18" w:name="indicative-sequencing-not-a-commitment"/>
    <w:p>
      <w:pPr>
        <w:pStyle w:val="Heading2"/>
      </w:pPr>
      <w:r>
        <w:t xml:space="preserve">Indicative sequencing (not a commitment)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Nature</w:t>
            </w:r>
          </w:p>
        </w:tc>
        <w:tc>
          <w:tcPr/>
          <w:p>
            <w:pPr>
              <w:pStyle w:val="Compact"/>
            </w:pPr>
            <w:r>
              <w:t xml:space="preserve">Gate to exit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 — Data fitness</w:t>
            </w:r>
          </w:p>
        </w:tc>
        <w:tc>
          <w:tcPr/>
          <w:p>
            <w:pPr>
              <w:pStyle w:val="Compact"/>
            </w:pPr>
            <w:r>
              <w:t xml:space="preserve">UMD extension only</w:t>
            </w:r>
          </w:p>
        </w:tc>
        <w:tc>
          <w:tcPr/>
          <w:p>
            <w:pPr>
              <w:pStyle w:val="Compact"/>
            </w:pPr>
            <w:r>
              <w:t xml:space="preserve">Conviction test N/N</w:t>
            </w:r>
          </w:p>
        </w:tc>
      </w:tr>
      <w:tr>
        <w:tc>
          <w:tcPr/>
          <w:p>
            <w:pPr>
              <w:pStyle w:val="Compact"/>
            </w:pPr>
            <w:r>
              <w:t xml:space="preserve">2 — Engine spine</w:t>
            </w:r>
          </w:p>
        </w:tc>
        <w:tc>
          <w:tcPr/>
          <w:p>
            <w:pPr>
              <w:pStyle w:val="Compact"/>
            </w:pPr>
            <w:r>
              <w:t xml:space="preserve">New app scaffold</w:t>
            </w:r>
          </w:p>
        </w:tc>
        <w:tc>
          <w:tcPr/>
          <w:p>
            <w:pPr>
              <w:pStyle w:val="Compact"/>
            </w:pPr>
            <w:r>
              <w:t xml:space="preserve">One model executes end-to-end, numbers traced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3 — One artifact</w:t>
            </w:r>
          </w:p>
        </w:tc>
        <w:tc>
          <w:tcPr/>
          <w:p>
            <w:pPr>
              <w:pStyle w:val="Compact"/>
            </w:pPr>
            <w:r>
              <w:t xml:space="preserve">Depth</w:t>
            </w:r>
          </w:p>
        </w:tc>
        <w:tc>
          <w:tcPr/>
          <w:p>
            <w:pPr>
              <w:pStyle w:val="Compact"/>
            </w:pPr>
            <w:r>
              <w:t xml:space="preserve">Owner judges it excellent by eye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 — Generalise</w:t>
            </w:r>
          </w:p>
        </w:tc>
        <w:tc>
          <w:tcPr/>
          <w:p>
            <w:pPr>
              <w:pStyle w:val="Compact"/>
            </w:pPr>
            <w:r>
              <w:t xml:space="preserve">Breadth</w:t>
            </w:r>
          </w:p>
        </w:tc>
        <w:tc>
          <w:tcPr/>
          <w:p>
            <w:pPr>
              <w:pStyle w:val="Compact"/>
            </w:pPr>
            <w:r>
              <w:t xml:space="preserve">Each persona’s artifact judged excellent</w:t>
            </w:r>
          </w:p>
        </w:tc>
      </w:tr>
    </w:tbl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Lucidate / Horizon Assessment</dc:title>
  <dc:creator/>
  <cp:keywords/>
  <dcterms:created xsi:type="dcterms:W3CDTF">2026-07-10T10:58:54Z</dcterms:created>
  <dcterms:modified xsi:type="dcterms:W3CDTF">2026-07-10T10:58:54Z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