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Lucidate / Horizon Assessment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f363e9e8b628eb0143f0cf661763eeb594135af"/>
    <w:p>
      <w:pPr>
        <w:pStyle w:val="Heading1"/>
      </w:pPr>
      <w:r>
        <w:t xml:space="preserve">10 — Model Input Representation: level, derivatives, and context</w:t>
      </w:r>
    </w:p>
    <w:p>
      <w:pPr>
        <w:pStyle w:val="FirstParagraph"/>
      </w:pPr>
      <w:r>
        <w:t xml:space="preserve">This document corrects a naïveté in the earlier drafts. They repeated the phrase</w:t>
      </w:r>
      <w:r>
        <w:t xml:space="preserve"> </w:t>
      </w:r>
      <w:r>
        <w:rPr>
          <w:i/>
          <w:iCs/>
        </w:rPr>
        <w:t xml:space="preserve">“inflation and its rate of change”</w:t>
      </w:r>
      <w:r>
        <w:t xml:space="preserve"> </w:t>
      </w:r>
      <w:r>
        <w:t xml:space="preserve">so often that they implied the derivative of</w:t>
      </w:r>
      <w:r>
        <w:t xml:space="preserve"> </w:t>
      </w:r>
      <w:r>
        <w:t xml:space="preserve">a variable matters</w:t>
      </w:r>
      <w:r>
        <w:t xml:space="preserve"> </w:t>
      </w:r>
      <w:r>
        <w:rPr>
          <w:i/>
          <w:iCs/>
        </w:rPr>
        <w:t xml:space="preserve">only for inflation</w:t>
      </w:r>
      <w:r>
        <w:t xml:space="preserve">. That is wrong, and building on it would</w:t>
      </w:r>
      <w:r>
        <w:t xml:space="preserve"> </w:t>
      </w:r>
      <w:r>
        <w:t xml:space="preserve">invite disaster.</w:t>
      </w:r>
      <w:r>
        <w:t xml:space="preserve"> </w:t>
      </w:r>
      <w:r>
        <w:rPr>
          <w:b/>
          <w:bCs/>
        </w:rPr>
        <w:t xml:space="preserve">The derivative principle is universal.</w:t>
      </w:r>
    </w:p>
    <w:bookmarkStart w:id="12" w:name="the-principle"/>
    <w:p>
      <w:pPr>
        <w:pStyle w:val="Heading2"/>
      </w:pPr>
      <w:r>
        <w:t xml:space="preserve">The principle</w:t>
      </w:r>
    </w:p>
    <w:p>
      <w:pPr>
        <w:pStyle w:val="FirstParagraph"/>
      </w:pPr>
      <w:r>
        <w:t xml:space="preserve">A professional never feeds a model a raw number. They feed it a</w:t>
      </w:r>
      <w:r>
        <w:t xml:space="preserve"> </w:t>
      </w:r>
      <w:r>
        <w:rPr>
          <w:b/>
          <w:bCs/>
        </w:rPr>
        <w:t xml:space="preserve">state</w:t>
      </w:r>
      <w:r>
        <w:t xml:space="preserve">: the</w:t>
      </w:r>
      <w:r>
        <w:t xml:space="preserve"> </w:t>
      </w:r>
      <w:r>
        <w:t xml:space="preserve">variable’s level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its motion.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input, the questions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Level</w:t>
      </w:r>
      <w:r>
        <w:t xml:space="preserve"> </w:t>
      </w:r>
      <w:r>
        <w:t xml:space="preserve">— where is it? (housing starts at 1.35m)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First derivative (velocity)</w:t>
      </w:r>
      <w:r>
        <w:t xml:space="preserve"> </w:t>
      </w:r>
      <w:r>
        <w:t xml:space="preserve">— is it rising or falling, and</w:t>
      </w:r>
      <w:r>
        <w:t xml:space="preserve"> </w:t>
      </w:r>
      <w:r>
        <w:rPr>
          <w:i/>
          <w:iCs/>
        </w:rPr>
        <w:t xml:space="preserve">how fast</w:t>
      </w:r>
      <w:r>
        <w:t xml:space="preserve">?</w:t>
      </w:r>
      <w:r>
        <w:t xml:space="preserve"> </w:t>
      </w:r>
      <w:r>
        <w:t xml:space="preserve">(starts down 4% m/m)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 derivative (acceleration)</w:t>
      </w:r>
      <w:r>
        <w:t xml:space="preserve"> </w:t>
      </w:r>
      <w:r>
        <w:t xml:space="preserve">— is the</w:t>
      </w:r>
      <w:r>
        <w:t xml:space="preserve"> </w:t>
      </w:r>
      <w:r>
        <w:rPr>
          <w:i/>
          <w:iCs/>
        </w:rPr>
        <w:t xml:space="preserve">change itself</w:t>
      </w:r>
      <w:r>
        <w:t xml:space="preserve"> </w:t>
      </w:r>
      <w:r>
        <w:t xml:space="preserve">speeding up or</w:t>
      </w:r>
      <w:r>
        <w:t xml:space="preserve"> </w:t>
      </w:r>
      <w:r>
        <w:t xml:space="preserve">slowing? (the decline is decelerating — a possible turn)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</w:t>
      </w:r>
      <w:r>
        <w:t xml:space="preserve"> </w:t>
      </w:r>
      <w:r>
        <w:t xml:space="preserve">— how does this compare to trend, history, regime, and to what was</w:t>
      </w:r>
      <w:r>
        <w:t xml:space="preserve"> </w:t>
      </w:r>
      <w:r>
        <w:rPr>
          <w:i/>
          <w:iCs/>
        </w:rPr>
        <w:t xml:space="preserve">expected</w:t>
      </w:r>
      <w:r>
        <w:t xml:space="preserve">? (starts in the 20th percentile of a decade; below consensus)</w:t>
      </w:r>
    </w:p>
    <w:p>
      <w:pPr>
        <w:pStyle w:val="FirstParagraph"/>
      </w:pPr>
      <w:r>
        <w:t xml:space="preserve">Housing starts</w:t>
      </w:r>
      <w:r>
        <w:t xml:space="preserve"> </w:t>
      </w:r>
      <w:r>
        <w:rPr>
          <w:i/>
          <w:iCs/>
        </w:rPr>
        <w:t xml:space="preserve">falling</w:t>
      </w:r>
      <w:r>
        <w:t xml:space="preserve"> </w:t>
      </w:r>
      <w:r>
        <w:t xml:space="preserve">is a different world from housing starts</w:t>
      </w:r>
      <w:r>
        <w:t xml:space="preserve"> </w:t>
      </w:r>
      <w:r>
        <w:rPr>
          <w:i/>
          <w:iCs/>
        </w:rPr>
        <w:t xml:space="preserve">rising</w:t>
      </w:r>
      <w:r>
        <w:t xml:space="preserve">;</w:t>
      </w:r>
      <w:r>
        <w:t xml:space="preserve"> </w:t>
      </w:r>
      <w:r>
        <w:t xml:space="preserve">rising-but-decelerating often signals an inflection a level-only reading misses</w:t>
      </w:r>
      <w:r>
        <w:t xml:space="preserve"> </w:t>
      </w:r>
      <w:r>
        <w:t xml:space="preserve">entirely. The same is true of payrolls, ISM new orders, credit spreads, the</w:t>
      </w:r>
      <w:r>
        <w:t xml:space="preserve"> </w:t>
      </w:r>
      <w:r>
        <w:t xml:space="preserve">curve, real yields, oil inventories, and every other input in the matrix (§05). A</w:t>
      </w:r>
      <w:r>
        <w:t xml:space="preserve"> </w:t>
      </w:r>
      <w:r>
        <w:t xml:space="preserve">level alone is frequently insufficient; the model’s</w:t>
      </w:r>
      <w:r>
        <w:t xml:space="preserve"> </w:t>
      </w:r>
      <w:r>
        <w:rPr>
          <w:i/>
          <w:iCs/>
        </w:rPr>
        <w:t xml:space="preserve">meaning</w:t>
      </w:r>
      <w:r>
        <w:t xml:space="preserve"> </w:t>
      </w:r>
      <w:r>
        <w:t xml:space="preserve">lives in the motion.</w:t>
      </w:r>
    </w:p>
    <w:p>
      <w:pPr>
        <w:pStyle w:val="CaptionedFigure"/>
      </w:pPr>
      <w:r>
        <w:drawing>
          <wp:inline>
            <wp:extent cx="5334000" cy="3299732"/>
            <wp:effectExtent b="0" l="0" r="0" t="0"/>
            <wp:docPr descr="diagram" title="" id="10" name="Picture"/>
            <a:graphic>
              <a:graphicData uri="http://schemas.openxmlformats.org/drawingml/2006/picture">
                <pic:pic>
                  <pic:nvPicPr>
                    <pic:cNvPr descr="./10-model-input-representation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9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2"/>
    <w:bookmarkStart w:id="15" w:name="Xb4d18a4438f01dec9cc8cf4ee88a7771cc50aed"/>
    <w:p>
      <w:pPr>
        <w:pStyle w:val="Heading2"/>
      </w:pPr>
      <w:r>
        <w:t xml:space="preserve">This is established practice, not a Horizon idea</w:t>
      </w:r>
    </w:p>
    <w:p>
      <w:pPr>
        <w:pStyle w:val="FirstParagraph"/>
      </w:pPr>
      <w:r>
        <w:t xml:space="preserve">The finance and macro literature</w:t>
      </w:r>
      <w:r>
        <w:t xml:space="preserve"> </w:t>
      </w:r>
      <w:r>
        <w:rPr>
          <w:i/>
          <w:iCs/>
        </w:rPr>
        <w:t xml:space="preserve">formalises</w:t>
      </w:r>
      <w:r>
        <w:t xml:space="preserve"> </w:t>
      </w:r>
      <w:r>
        <w:t xml:space="preserve">the derivative view: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Momentum oscillators are literally derivatives.</w:t>
      </w:r>
      <w:r>
        <w:t xml:space="preserve"> </w:t>
      </w:r>
      <w:r>
        <w:t xml:space="preserve">Technical oscillators are</w:t>
      </w:r>
      <w:r>
        <w:t xml:space="preserve"> </w:t>
      </w:r>
      <w:r>
        <w:t xml:space="preserve">“second or third derivative functions”</w:t>
      </w:r>
      <w:r>
        <w:t xml:space="preserve"> </w:t>
      </w:r>
      <w:r>
        <w:t xml:space="preserve">of a series; the McClellan Oscillator is</w:t>
      </w:r>
      <w:r>
        <w:t xml:space="preserve"> </w:t>
      </w:r>
      <w:r>
        <w:t xml:space="preserve">the rate of change of the advance–decline line — acceleration of breadth.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leading indicators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Diffusion indices encode the first derivative across many series at once.</w:t>
      </w:r>
      <w:r>
        <w:t xml:space="preserve"> </w:t>
      </w:r>
      <w:r>
        <w:t xml:space="preserve">ISM prints above/below 50 measure whether the</w:t>
      </w:r>
      <w:r>
        <w:t xml:space="preserve"> </w:t>
      </w:r>
      <w:r>
        <w:rPr>
          <w:i/>
          <w:iCs/>
        </w:rPr>
        <w:t xml:space="preserve">breadth</w:t>
      </w:r>
      <w:r>
        <w:t xml:space="preserve"> </w:t>
      </w:r>
      <w:r>
        <w:t xml:space="preserve">of activity is</w:t>
      </w:r>
      <w:r>
        <w:t xml:space="preserve"> </w:t>
      </w:r>
      <w:r>
        <w:t xml:space="preserve">expanding or contracting — a first-derivative reading, not a level. ISM</w:t>
      </w:r>
      <w:r>
        <w:t xml:space="preserve"> </w:t>
      </w: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b/>
          <w:bCs/>
        </w:rPr>
        <w:t xml:space="preserve">orders</w:t>
      </w:r>
      <w:r>
        <w:t xml:space="preserve"> </w:t>
      </w:r>
      <w:r>
        <w:t xml:space="preserve">is watched precisely because it leads (the derivative leads the level).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Leading indicators are derivative constructs</w:t>
      </w:r>
      <w:r>
        <w:t xml:space="preserve"> </w:t>
      </w:r>
      <w:r>
        <w:t xml:space="preserve">that</w:t>
      </w:r>
      <w:r>
        <w:t xml:space="preserve"> </w:t>
      </w:r>
      <w:r>
        <w:t xml:space="preserve">“change before the broader</w:t>
      </w:r>
      <w:r>
        <w:t xml:space="preserve"> </w:t>
      </w:r>
      <w:r>
        <w:t xml:space="preserve">economy does (commonly 3–12 months ahead)”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LEI</w:t>
        </w:r>
      </w:hyperlink>
      <w:r>
        <w:t xml:space="preserve">) — you</w:t>
      </w:r>
      <w:r>
        <w:t xml:space="preserve"> </w:t>
      </w:r>
      <w:r>
        <w:t xml:space="preserve">read them for direction and acceleration, not level.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Whole models are built on momentum.</w:t>
      </w:r>
      <w:r>
        <w:t xml:space="preserve"> </w:t>
      </w:r>
      <w:r>
        <w:t xml:space="preserve">The Atlanta Fed</w:t>
      </w:r>
      <w:r>
        <w:t xml:space="preserve"> </w:t>
      </w:r>
      <w:r>
        <w:rPr>
          <w:b/>
          <w:bCs/>
        </w:rPr>
        <w:t xml:space="preserve">GDPNow</w:t>
      </w:r>
      <w:r>
        <w:t xml:space="preserve"> </w:t>
      </w:r>
      <w:r>
        <w:t xml:space="preserve">nowcast</w:t>
      </w:r>
      <w:r>
        <w:t xml:space="preserve"> </w:t>
      </w:r>
      <w:r>
        <w:t xml:space="preserve">aggregates the</w:t>
      </w:r>
      <w:r>
        <w:t xml:space="preserve"> </w:t>
      </w:r>
      <w:r>
        <w:rPr>
          <w:i/>
          <w:iCs/>
        </w:rPr>
        <w:t xml:space="preserve">changes</w:t>
      </w:r>
      <w:r>
        <w:t xml:space="preserve"> </w:t>
      </w:r>
      <w:r>
        <w:t xml:space="preserve">in 13 subcomponents (ISM, construction, vehicle sales,</w:t>
      </w:r>
      <w:r>
        <w:t xml:space="preserve"> </w:t>
      </w:r>
      <w:r>
        <w:t xml:space="preserve">trade, employment, IP, housing starts, PPI/CPI) into a running estimate — a</w:t>
      </w:r>
      <w:r>
        <w:t xml:space="preserve"> </w:t>
      </w:r>
      <w:r>
        <w:t xml:space="preserve">model whose inputs are fundamentally rates of change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GDPNow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Surprise indices</w:t>
      </w:r>
      <w:r>
        <w:t xml:space="preserve"> </w:t>
      </w:r>
      <w:r>
        <w:t xml:space="preserve">(actual vs</w:t>
      </w:r>
      <w:r>
        <w:t xml:space="preserve"> </w:t>
      </w:r>
      <w:r>
        <w:rPr>
          <w:i/>
          <w:iCs/>
        </w:rPr>
        <w:t xml:space="preserve">expected</w:t>
      </w:r>
      <w:r>
        <w:t xml:space="preserve">) are the</w:t>
      </w:r>
      <w:r>
        <w:t xml:space="preserve"> </w:t>
      </w:r>
      <w:r>
        <w:t xml:space="preserve">“context vs expectations”</w:t>
      </w:r>
      <w:r>
        <w:t xml:space="preserve"> </w:t>
      </w:r>
      <w:r>
        <w:t xml:space="preserve">axis made into a series — the same object the expectations layer already in UMD</w:t>
      </w:r>
      <w:r>
        <w:t xml:space="preserve"> </w:t>
      </w:r>
      <w:r>
        <w:t xml:space="preserve">produces.</w:t>
      </w:r>
    </w:p>
    <w:bookmarkEnd w:id="15"/>
    <w:bookmarkStart w:id="18" w:name="X380e3bcdff0ea4d8e2a159281e40684f8827c44"/>
    <w:p>
      <w:pPr>
        <w:pStyle w:val="Heading2"/>
      </w:pPr>
      <w:r>
        <w:t xml:space="preserve">What this changes in the data-layer requirements</w:t>
      </w:r>
    </w:p>
    <w:p>
      <w:pPr>
        <w:pStyle w:val="FirstParagraph"/>
      </w:pPr>
      <w:r>
        <w:t xml:space="preserve">This is not a wording fix; it changes the specification of two layers.</w:t>
      </w:r>
    </w:p>
    <w:bookmarkStart w:id="16" w:name="X3dc1efd60f5a99a658f6d804dc1ed9c05aabd9a"/>
    <w:p>
      <w:pPr>
        <w:pStyle w:val="Heading3"/>
      </w:pPr>
      <w:r>
        <w:t xml:space="preserve">Time-series layer — a derivative/transform</w:t>
      </w:r>
      <w:r>
        <w:t xml:space="preserve"> </w:t>
      </w:r>
      <w:r>
        <w:rPr>
          <w:i/>
          <w:iCs/>
        </w:rPr>
        <w:t xml:space="preserve">stack</w:t>
      </w:r>
      <w:r>
        <w:t xml:space="preserve"> </w:t>
      </w:r>
      <w:r>
        <w:t xml:space="preserve">per series</w:t>
      </w:r>
    </w:p>
    <w:p>
      <w:pPr>
        <w:pStyle w:val="FirstParagraph"/>
      </w:pPr>
      <w:r>
        <w:t xml:space="preserve">It is not enough to store levels. For every series the model matrix consumes, the</w:t>
      </w:r>
      <w:r>
        <w:t xml:space="preserve"> </w:t>
      </w:r>
      <w:r>
        <w:t xml:space="preserve">layer must be able to produce, on demand and consistently: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Transform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Example construct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X(t)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(mom/qoq/yoy)</w:t>
            </w:r>
          </w:p>
        </w:tc>
        <w:tc>
          <w:tcPr/>
          <w:p>
            <w:pPr>
              <w:pStyle w:val="Compact"/>
            </w:pPr>
            <w:r>
              <w:t xml:space="preserve">first derivative</w:t>
            </w:r>
          </w:p>
        </w:tc>
        <w:tc>
          <w:tcPr/>
          <w:p>
            <w:pPr>
              <w:pStyle w:val="Compact"/>
            </w:pPr>
            <w:r>
              <w:t xml:space="preserve">rate of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Δ²</w:t>
            </w:r>
          </w:p>
        </w:tc>
        <w:tc>
          <w:tcPr/>
          <w:p>
            <w:pPr>
              <w:pStyle w:val="Compact"/>
            </w:pPr>
            <w:r>
              <w:t xml:space="preserve">second derivative</w:t>
            </w:r>
          </w:p>
        </w:tc>
        <w:tc>
          <w:tcPr/>
          <w:p>
            <w:pPr>
              <w:pStyle w:val="Compact"/>
            </w:pPr>
            <w:r>
              <w:t xml:space="preserve">acceleration / momentum-of-momentum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context</w:t>
            </w:r>
          </w:p>
        </w:tc>
        <w:tc>
          <w:tcPr/>
          <w:p>
            <w:pPr>
              <w:pStyle w:val="Compact"/>
            </w:pPr>
            <w:r>
              <w:t xml:space="preserve">vs its own history</w:t>
            </w:r>
          </w:p>
        </w:tc>
        <w:tc>
          <w:tcPr/>
          <w:p>
            <w:pPr>
              <w:pStyle w:val="Compact"/>
            </w:pPr>
            <w:r>
              <w:t xml:space="preserve">z-score, percentile, vs 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breadth / diffusion</w:t>
            </w:r>
          </w:p>
        </w:tc>
        <w:tc>
          <w:tcPr/>
          <w:p>
            <w:pPr>
              <w:pStyle w:val="Compact"/>
            </w:pPr>
            <w:r>
              <w:t xml:space="preserve">first derivative across a group</w:t>
            </w:r>
          </w:p>
        </w:tc>
        <w:tc>
          <w:tcPr/>
          <w:p>
            <w:pPr>
              <w:pStyle w:val="Compact"/>
            </w:pPr>
            <w:r>
              <w:t xml:space="preserve">%-of-components-rising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surprise</w:t>
            </w:r>
          </w:p>
        </w:tc>
        <w:tc>
          <w:tcPr/>
          <w:p>
            <w:pPr>
              <w:pStyle w:val="Compact"/>
            </w:pPr>
            <w:r>
              <w:t xml:space="preserve">vs expected</w:t>
            </w:r>
          </w:p>
        </w:tc>
        <w:tc>
          <w:tcPr/>
          <w:p>
            <w:pPr>
              <w:pStyle w:val="Compact"/>
            </w:pPr>
            <w:r>
              <w:t xml:space="preserve">actual − consensus / market-implied</w:t>
            </w:r>
          </w:p>
        </w:tc>
      </w:tr>
    </w:tbl>
    <w:p>
      <w:pPr>
        <w:pStyle w:val="BodyText"/>
      </w:pPr>
      <w:r>
        <w:t xml:space="preserve">Some of these exist ad hoc in UMD code (</w:t>
      </w:r>
      <w:r>
        <w:rPr>
          <w:rStyle w:val="VerbatimChar"/>
        </w:rPr>
        <w:t xml:space="preserve">yoy</w:t>
      </w:r>
      <w:r>
        <w:t xml:space="preserve">,</w:t>
      </w:r>
      <w:r>
        <w:t xml:space="preserve"> </w:t>
      </w:r>
      <w:r>
        <w:rPr>
          <w:rStyle w:val="VerbatimChar"/>
        </w:rPr>
        <w:t xml:space="preserve">mom</w:t>
      </w:r>
      <w:r>
        <w:t xml:space="preserve">);</w:t>
      </w:r>
      <w:r>
        <w:t xml:space="preserve"> </w:t>
      </w:r>
      <w:r>
        <w:rPr>
          <w:b/>
          <w:bCs/>
        </w:rPr>
        <w:t xml:space="preserve">none is systematically</w:t>
      </w:r>
      <w:r>
        <w:rPr>
          <w:b/>
          <w:bCs/>
        </w:rPr>
        <w:t xml:space="preserve"> </w:t>
      </w:r>
      <w:r>
        <w:rPr>
          <w:b/>
          <w:bCs/>
        </w:rPr>
        <w:t xml:space="preserve">declared or stored as a first-class, catalogued transform.</w:t>
      </w:r>
      <w:r>
        <w:t xml:space="preserve"> </w:t>
      </w:r>
      <w:r>
        <w:t xml:space="preserve">That is the gap</w:t>
      </w:r>
      <w:r>
        <w:t xml:space="preserve"> </w:t>
      </w:r>
      <w:r>
        <w:t xml:space="preserve">(§07): a canonical transform stack, not scattered helpers.</w:t>
      </w:r>
    </w:p>
    <w:bookmarkEnd w:id="16"/>
    <w:bookmarkStart w:id="17" w:name="X9a6f69947023b2bb2faba3d697dec6ed6f3e13e"/>
    <w:p>
      <w:pPr>
        <w:pStyle w:val="Heading3"/>
      </w:pPr>
      <w:r>
        <w:t xml:space="preserve">Graph layer —</w:t>
      </w:r>
      <w:r>
        <w:t xml:space="preserve"> </w:t>
      </w:r>
      <w:r>
        <w:rPr>
          <w:rStyle w:val="VerbatimChar"/>
        </w:rPr>
        <w:t xml:space="preserve">ModelInput</w:t>
      </w:r>
      <w:r>
        <w:t xml:space="preserve"> </w:t>
      </w:r>
      <w:r>
        <w:t xml:space="preserve">must declare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derivative and window</w:t>
      </w:r>
    </w:p>
    <w:p>
      <w:pPr>
        <w:pStyle w:val="FirstParagraph"/>
      </w:pPr>
      <w:r>
        <w:t xml:space="preserve">A model input is not</w:t>
      </w:r>
      <w:r>
        <w:t xml:space="preserve"> </w:t>
      </w:r>
      <w:r>
        <w:t xml:space="preserve">“a series.”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tuple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ModelInput = { series, order ∈ {level, Δ, Δ², context, diffusion, surprise},</w:t>
      </w:r>
      <w:r>
        <w:br/>
      </w:r>
      <w:r>
        <w:rPr>
          <w:rStyle w:val="VerbatimChar"/>
        </w:rPr>
        <w:t xml:space="preserve">               window, transform_params }</w:t>
      </w:r>
    </w:p>
    <w:p>
      <w:pPr>
        <w:pStyle w:val="FirstParagraph"/>
      </w:pPr>
      <w:r>
        <w:t xml:space="preserve">The catalog must record, per model,</w:t>
      </w:r>
      <w:r>
        <w:t xml:space="preserve"> </w:t>
      </w:r>
      <w:r>
        <w:rPr>
          <w:i/>
          <w:iCs/>
        </w:rPr>
        <w:t xml:space="preserve">which order and window of which series</w:t>
      </w:r>
      <w:r>
        <w:t xml:space="preserve"> </w:t>
      </w:r>
      <w:r>
        <w:t xml:space="preserve">the</w:t>
      </w:r>
      <w:r>
        <w:t xml:space="preserve"> </w:t>
      </w:r>
      <w:r>
        <w:t xml:space="preserve">model consumes — because the reaction function wants inflation’s</w:t>
      </w:r>
      <w:r>
        <w:t xml:space="preserve"> </w:t>
      </w:r>
      <w:r>
        <w:rPr>
          <w:i/>
          <w:iCs/>
        </w:rPr>
        <w:t xml:space="preserve">level and its</w:t>
      </w:r>
      <w:r>
        <w:rPr>
          <w:i/>
          <w:iCs/>
        </w:rPr>
        <w:t xml:space="preserve"> </w:t>
      </w:r>
      <w:r>
        <w:rPr>
          <w:i/>
          <w:iCs/>
        </w:rPr>
        <w:t xml:space="preserve">change</w:t>
      </w:r>
      <w:r>
        <w:t xml:space="preserve">, the momentum/nowcast models want</w:t>
      </w:r>
      <w:r>
        <w:t xml:space="preserve"> </w:t>
      </w:r>
      <w:r>
        <w:rPr>
          <w:i/>
          <w:iCs/>
        </w:rPr>
        <w:t xml:space="preserve">changes and acceleration</w:t>
      </w:r>
      <w:r>
        <w:t xml:space="preserve">, and a</w:t>
      </w:r>
      <w:r>
        <w:t xml:space="preserve"> </w:t>
      </w:r>
      <w:r>
        <w:t xml:space="preserve">valuation model wants a</w:t>
      </w:r>
      <w:r>
        <w:t xml:space="preserve"> </w:t>
      </w:r>
      <w:r>
        <w:rPr>
          <w:i/>
          <w:iCs/>
        </w:rPr>
        <w:t xml:space="preserve">level in context</w:t>
      </w:r>
      <w:r>
        <w:t xml:space="preserve">. Encoding only</w:t>
      </w:r>
      <w:r>
        <w:t xml:space="preserve"> </w:t>
      </w:r>
      <w:r>
        <w:t xml:space="preserve">“series → model”</w:t>
      </w:r>
      <w:r>
        <w:t xml:space="preserve"> </w:t>
      </w:r>
      <w:r>
        <w:t xml:space="preserve">(as the dangling</w:t>
      </w:r>
      <w:r>
        <w:t xml:space="preserve"> </w:t>
      </w:r>
      <w:r>
        <w:rPr>
          <w:rStyle w:val="VerbatimChar"/>
        </w:rPr>
        <w:t xml:space="preserve">USED_BY_MODEL</w:t>
      </w:r>
      <w:r>
        <w:t xml:space="preserve"> </w:t>
      </w:r>
      <w:r>
        <w:t xml:space="preserve">edge does today) is insufficient and would</w:t>
      </w:r>
      <w:r>
        <w:t xml:space="preserve"> </w:t>
      </w:r>
      <w:r>
        <w:t xml:space="preserve">reproduce exactly the naïve reading this document corrects.</w:t>
      </w:r>
    </w:p>
    <w:bookmarkEnd w:id="17"/>
    <w:bookmarkEnd w:id="18"/>
    <w:bookmarkStart w:id="19" w:name="X93ad46fe611347439b75f817ba21521b4788cab"/>
    <w:p>
      <w:pPr>
        <w:pStyle w:val="Heading2"/>
      </w:pPr>
      <w:r>
        <w:t xml:space="preserve">The corrected framing (to be applied throughout the set)</w:t>
      </w:r>
    </w:p>
    <w:p>
      <w:pPr>
        <w:pStyle w:val="FirstParagraph"/>
      </w:pPr>
      <w:r>
        <w:t xml:space="preserve">Wherever the earlier drafts said</w:t>
      </w:r>
      <w:r>
        <w:t xml:space="preserve"> </w:t>
      </w:r>
      <w:r>
        <w:rPr>
          <w:i/>
          <w:iCs/>
        </w:rPr>
        <w:t xml:space="preserve">“inflation and its rate of change,”</w:t>
      </w:r>
      <w:r>
        <w:t xml:space="preserve"> </w:t>
      </w:r>
      <w:r>
        <w:t xml:space="preserve">read the</w:t>
      </w:r>
      <w:r>
        <w:t xml:space="preserve"> </w:t>
      </w:r>
      <w:r>
        <w:t xml:space="preserve">general rule:</w:t>
      </w:r>
    </w:p>
    <w:p>
      <w:pPr>
        <w:pStyle w:val="BlockText"/>
      </w:pPr>
      <w:r>
        <w:rPr>
          <w:b/>
          <w:bCs/>
        </w:rPr>
        <w:t xml:space="preserve">Every model input is a state — level, first derivative, second derivative,</w:t>
      </w:r>
      <w:r>
        <w:rPr>
          <w:b/>
          <w:bCs/>
        </w:rPr>
        <w:t xml:space="preserve"> </w:t>
      </w:r>
      <w:r>
        <w:rPr>
          <w:b/>
          <w:bCs/>
        </w:rPr>
        <w:t xml:space="preserve">and context — and the model catalog must declare which of these each model</w:t>
      </w:r>
      <w:r>
        <w:rPr>
          <w:b/>
          <w:bCs/>
        </w:rPr>
        <w:t xml:space="preserve"> </w:t>
      </w:r>
      <w:r>
        <w:rPr>
          <w:b/>
          <w:bCs/>
        </w:rPr>
        <w:t xml:space="preserve">consumes. Inflation is one example among all variables, not the exception.</w:t>
      </w:r>
    </w:p>
    <w:p>
      <w:pPr>
        <w:pStyle w:val="FirstParagraph"/>
      </w:pPr>
      <w:r>
        <w:t xml:space="preserve">§05 (the matrix), §06 (target schema), and §07 (gap analysis) are to be read with</w:t>
      </w:r>
      <w:r>
        <w:t xml:space="preserve"> </w:t>
      </w:r>
      <w:r>
        <w:t xml:space="preserve">this correction; the</w:t>
      </w:r>
      <w:r>
        <w:t xml:space="preserve"> </w:t>
      </w:r>
      <w:r>
        <w:rPr>
          <w:rStyle w:val="VerbatimChar"/>
        </w:rPr>
        <w:t xml:space="preserve">ModelInput</w:t>
      </w:r>
      <w:r>
        <w:t xml:space="preserve"> </w:t>
      </w:r>
      <w:r>
        <w:t xml:space="preserve">tuple above is the concrete requirement it</w:t>
      </w:r>
      <w:r>
        <w:t xml:space="preserve"> </w:t>
      </w:r>
      <w:r>
        <w:t xml:space="preserve">places on the graph and time-series layers.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www.atlantafed.org/research-and-data/data/gdpnow/explainer" TargetMode="External" /><Relationship Type="http://schemas.openxmlformats.org/officeDocument/2006/relationships/hyperlink" Id="rId13" Target="https://www.conference-board.org/topics/us-leading-indicator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www.atlantafed.org/research-and-data/data/gdpnow/explainer" TargetMode="External" /><Relationship Type="http://schemas.openxmlformats.org/officeDocument/2006/relationships/hyperlink" Id="rId13" Target="https://www.conference-board.org/topics/us-leading-indicator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Lucidate / Horizon Assessment</dc:title>
  <dc:creator/>
  <cp:keywords/>
  <dcterms:created xsi:type="dcterms:W3CDTF">2026-07-10T10:58:55Z</dcterms:created>
  <dcterms:modified xsi:type="dcterms:W3CDTF">2026-07-10T10:58:55Z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