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model-reference-literature-review"/>
    <w:p>
      <w:pPr>
        <w:pStyle w:val="Heading1"/>
      </w:pPr>
      <w:r>
        <w:t xml:space="preserve">11 — Model Reference (literature review)</w:t>
      </w:r>
    </w:p>
    <w:p>
      <w:pPr>
        <w:pStyle w:val="FirstParagraph"/>
      </w:pPr>
      <w:r>
        <w:t xml:space="preserve">The earlier drafts named models but never specified them. This document is the</w:t>
      </w:r>
      <w:r>
        <w:t xml:space="preserve"> </w:t>
      </w:r>
      <w:r>
        <w:t xml:space="preserve">literature review: for each model class the app must support, its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form</w:t>
      </w:r>
      <w:r>
        <w:t xml:space="preserve">,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(with the derivative/context order each requires, per §10),</w:t>
      </w:r>
      <w:r>
        <w:t xml:space="preserve"> </w:t>
      </w:r>
      <w:r>
        <w:rPr>
          <w:b/>
          <w:bCs/>
        </w:rPr>
        <w:t xml:space="preserve">outputs</w:t>
      </w:r>
      <w:r>
        <w:t xml:space="preserve">,</w:t>
      </w:r>
      <w:r>
        <w:t xml:space="preserve"> </w:t>
      </w:r>
      <w:r>
        <w:rPr>
          <w:b/>
          <w:bCs/>
        </w:rPr>
        <w:t xml:space="preserve">what the output asserts</w:t>
      </w:r>
      <w:r>
        <w:t xml:space="preserve">,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,</w:t>
      </w:r>
      <w:r>
        <w:t xml:space="preserve"> </w:t>
      </w:r>
      <w:r>
        <w:rPr>
          <w:b/>
          <w:bCs/>
        </w:rPr>
        <w:t xml:space="preserve">why it is</w:t>
      </w:r>
      <w:r>
        <w:rPr>
          <w:b/>
          <w:bCs/>
        </w:rPr>
        <w:t xml:space="preserve"> </w:t>
      </w:r>
      <w:r>
        <w:rPr>
          <w:b/>
          <w:bCs/>
        </w:rPr>
        <w:t xml:space="preserve">insightful</w:t>
      </w:r>
      <w:r>
        <w:t xml:space="preserve">, and</w:t>
      </w:r>
      <w:r>
        <w:t xml:space="preserve"> </w:t>
      </w:r>
      <w:r>
        <w:rPr>
          <w:b/>
          <w:bCs/>
        </w:rPr>
        <w:t xml:space="preserve">references</w:t>
      </w:r>
      <w:r>
        <w:t xml:space="preserve">. This is the content that populates the Neo4j</w:t>
      </w:r>
      <w:r>
        <w:t xml:space="preserve"> </w:t>
      </w:r>
      <w:r>
        <w:t xml:space="preserve">model catalog (§06) and grounds the agent prompts (§12). It is a working</w:t>
      </w:r>
      <w:r>
        <w:t xml:space="preserve"> </w:t>
      </w:r>
      <w:r>
        <w:t xml:space="preserve">reference, not exhaustive — but it is specific enough to build from.</w:t>
      </w:r>
    </w:p>
    <w:p>
      <w:pPr>
        <w:pStyle w:val="BodyText"/>
      </w:pPr>
      <w:r>
        <w:t xml:space="preserve">For each model,</w:t>
      </w:r>
      <w:r>
        <w:t xml:space="preserve"> </w:t>
      </w:r>
      <w:r>
        <w:t xml:space="preserve">“insight”</w:t>
      </w:r>
      <w:r>
        <w:t xml:space="preserve"> </w:t>
      </w:r>
      <w:r>
        <w:t xml:space="preserve">is stated as</w:t>
      </w:r>
      <w:r>
        <w:t xml:space="preserve"> </w:t>
      </w:r>
      <w:r>
        <w:rPr>
          <w:i/>
          <w:iCs/>
        </w:rPr>
        <w:t xml:space="preserve">the gap the model reveals</w:t>
      </w:r>
      <w:r>
        <w:t xml:space="preserve"> </w:t>
      </w:r>
      <w:r>
        <w:t xml:space="preserve">— because the</w:t>
      </w:r>
      <w:r>
        <w:t xml:space="preserve"> </w:t>
      </w:r>
      <w:r>
        <w:t xml:space="preserve">story is almost always the divergence between the model and the market/consensus.</w:t>
      </w:r>
    </w:p>
    <w:p>
      <w:r>
        <w:pict>
          <v:rect style="width:0;height:1.5pt" o:hralign="center" o:hrstd="t" o:hr="t"/>
        </w:pict>
      </w:r>
    </w:p>
    <w:bookmarkStart w:id="14" w:name="a.-central-bank-policymaker"/>
    <w:p>
      <w:pPr>
        <w:pStyle w:val="Heading2"/>
      </w:pPr>
      <w:r>
        <w:t xml:space="preserve">A. Central-bank policymaker</w:t>
      </w:r>
    </w:p>
    <w:bookmarkStart w:id="11" w:name="a1-taylor-rule-and-its-variants"/>
    <w:p>
      <w:pPr>
        <w:pStyle w:val="Heading3"/>
      </w:pPr>
      <w:r>
        <w:t xml:space="preserve">A1 — Taylor rule and its variants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i* = r* + π + 0.5(π − π*) + 0.5·(output gap)</w:t>
      </w:r>
      <w:r>
        <w:t xml:space="preserve"> </w:t>
      </w:r>
      <w:r>
        <w:t xml:space="preserve">(Taylor 1993). Variants:</w:t>
      </w:r>
      <w:r>
        <w:t xml:space="preserve"> </w:t>
      </w:r>
      <w:r>
        <w:rPr>
          <w:b/>
          <w:bCs/>
        </w:rPr>
        <w:t xml:space="preserve">1999 /</w:t>
      </w:r>
      <w:r>
        <w:rPr>
          <w:b/>
          <w:bCs/>
        </w:rPr>
        <w:t xml:space="preserve"> </w:t>
      </w:r>
      <w:r>
        <w:rPr>
          <w:b/>
          <w:bCs/>
        </w:rPr>
        <w:t xml:space="preserve">“balanced-approach”</w:t>
      </w:r>
      <w:r>
        <w:t xml:space="preserve"> </w:t>
      </w:r>
      <w:r>
        <w:t xml:space="preserve">doubles the gap coefficient to 1.0;</w:t>
      </w:r>
      <w:r>
        <w:t xml:space="preserve"> </w:t>
      </w:r>
      <w:r>
        <w:rPr>
          <w:b/>
          <w:bCs/>
        </w:rPr>
        <w:t xml:space="preserve">first-difference</w:t>
      </w:r>
      <w:r>
        <w:t xml:space="preserve"> </w:t>
      </w:r>
      <w:r>
        <w:t xml:space="preserve">rule prescribes a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the rate from activity/</w:t>
      </w:r>
      <w:r>
        <w:t xml:space="preserve"> </w:t>
      </w:r>
      <w:r>
        <w:t xml:space="preserve">inflation changes (no r* level needed);</w:t>
      </w:r>
      <w:r>
        <w:t xml:space="preserve"> </w:t>
      </w:r>
      <w:r>
        <w:rPr>
          <w:b/>
          <w:bCs/>
        </w:rPr>
        <w:t xml:space="preserve">inertial</w:t>
      </w:r>
      <w:r>
        <w:t xml:space="preserve"> </w:t>
      </w:r>
      <w:r>
        <w:t xml:space="preserve">rule adds smoothing</w:t>
      </w:r>
      <w:r>
        <w:t xml:space="preserve"> </w:t>
      </w:r>
      <w:r>
        <w:t xml:space="preserve">(partial adjustment to the prescription).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inflation</w:t>
      </w:r>
      <w:r>
        <w:t xml:space="preserve"> </w:t>
      </w:r>
      <w:r>
        <w:rPr>
          <w:b/>
          <w:bCs/>
        </w:rPr>
        <w:t xml:space="preserve">level and its change</w:t>
      </w:r>
      <w:r>
        <w:t xml:space="preserve"> </w:t>
      </w:r>
      <w:r>
        <w:t xml:space="preserve">(π and Δπ, core &amp; headline), the</w:t>
      </w:r>
      <w:r>
        <w:t xml:space="preserve"> </w:t>
      </w:r>
      <w:r>
        <w:t xml:space="preserve">inflation target π*, the</w:t>
      </w:r>
      <w:r>
        <w:t xml:space="preserve"> </w:t>
      </w:r>
      <w:r>
        <w:rPr>
          <w:b/>
          <w:bCs/>
        </w:rPr>
        <w:t xml:space="preserve">output gap</w:t>
      </w:r>
      <w:r>
        <w:t xml:space="preserve"> </w:t>
      </w:r>
      <w:r>
        <w:t xml:space="preserve">(a context/level construct), and</w:t>
      </w:r>
      <w:r>
        <w:t xml:space="preserve"> </w:t>
      </w:r>
      <w:r>
        <w:rPr>
          <w:b/>
          <w:bCs/>
        </w:rPr>
        <w:t xml:space="preserve">r*</w:t>
      </w:r>
      <w:r>
        <w:t xml:space="preserve"> </w:t>
      </w:r>
      <w:r>
        <w:t xml:space="preserve">(from A2). The first-difference variant is explicitly derivative-based.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prescribed</w:t>
      </w:r>
      <w:r>
        <w:t xml:space="preserve"> </w:t>
      </w:r>
      <w:r>
        <w:t xml:space="preserve">policy rate</w:t>
      </w:r>
      <w:r>
        <w:t xml:space="preserve"> </w:t>
      </w:r>
      <w:r>
        <w:rPr>
          <w:rStyle w:val="VerbatimChar"/>
        </w:rPr>
        <w:t xml:space="preserve">i*</w:t>
      </w:r>
      <w:r>
        <w:t xml:space="preserve"> </w:t>
      </w:r>
      <w:r>
        <w:t xml:space="preserve">(one per variant).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“given this inflation and this slack, policy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here.”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between the prescription and the actual/market</w:t>
      </w:r>
      <w:r>
        <w:t xml:space="preserve"> </w:t>
      </w:r>
      <w:r>
        <w:t xml:space="preserve">path is the policy-stance signal — restrictive if actual &lt; prescription in an</w:t>
      </w:r>
      <w:r>
        <w:t xml:space="preserve"> </w:t>
      </w:r>
      <w:r>
        <w:t xml:space="preserve">overheating regime, accommodative if above in a slack regime.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dispersion across variants</w:t>
      </w:r>
      <w:r>
        <w:t xml:space="preserve"> </w:t>
      </w:r>
      <w:r>
        <w:t xml:space="preserve">is itself the story — the Fed’s</w:t>
      </w:r>
      <w:r>
        <w:t xml:space="preserve"> </w:t>
      </w:r>
      <w:r>
        <w:t xml:space="preserve">own Monetary Policy Report shows a fan of Taylor prescriptions; where the market</w:t>
      </w:r>
      <w:r>
        <w:t xml:space="preserve"> </w:t>
      </w:r>
      <w:r>
        <w:t xml:space="preserve">sits within that fan is a positioning map.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Refs:</w:t>
      </w:r>
      <w:r>
        <w:t xml:space="preserve"> </w:t>
      </w:r>
      <w:hyperlink r:id="rId9">
        <w:r>
          <w:rPr>
            <w:rStyle w:val="Hyperlink"/>
          </w:rPr>
          <w:t xml:space="preserve">Cleveland Fed simple-rules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KC Fed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“Beyond the Taylor Rule”</w:t>
        </w:r>
      </w:hyperlink>
    </w:p>
    <w:bookmarkEnd w:id="11"/>
    <w:bookmarkStart w:id="13" w:name="a2-natural-rate-of-interest-r"/>
    <w:p>
      <w:pPr>
        <w:pStyle w:val="Heading3"/>
      </w:pPr>
      <w:r>
        <w:t xml:space="preserve">A2 — Natural rate of interest (r*)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state-space / Kalman-filter estimation of an unobserved trend real</w:t>
      </w:r>
      <w:r>
        <w:t xml:space="preserve"> </w:t>
      </w:r>
      <w:r>
        <w:t xml:space="preserve">rate (Laubach-Williams 2003; Holston-Laubach-Williams 2017). Lubik-Matthes is a</w:t>
      </w:r>
      <w:r>
        <w:t xml:space="preserve"> </w:t>
      </w:r>
      <w:r>
        <w:t xml:space="preserve">VAR-based alternative.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real GDP (trend &amp; gap), core inflation, the real policy rate — all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trends and deviations</w:t>
      </w:r>
      <w:r>
        <w:t xml:space="preserve"> </w:t>
      </w:r>
      <w:r>
        <w:t xml:space="preserve">(context constructs), estimated recursively.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slow-moving r* estimate (HLW ~0.7%, Lubik-Matthes ~1.5%, Fed</w:t>
      </w:r>
      <w:r>
        <w:t xml:space="preserve"> </w:t>
      </w:r>
      <w:r>
        <w:t xml:space="preserve">staff ~1.0–1.2%).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neutral real rate is here”</w:t>
      </w:r>
      <w:r>
        <w:t xml:space="preserve"> </w:t>
      </w:r>
      <w:r>
        <w:t xml:space="preserve">— the anchor for A1.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policy is restrictive when the real rate &gt; r*, easy when &lt;.</w:t>
      </w:r>
      <w:r>
        <w:t xml:space="preserve"> </w:t>
      </w:r>
      <w:r>
        <w:t xml:space="preserve">Not observable — model-dependent, so</w:t>
      </w:r>
      <w:r>
        <w:t xml:space="preserve"> </w:t>
      </w:r>
      <w:r>
        <w:rPr>
          <w:i/>
          <w:iCs/>
        </w:rPr>
        <w:t xml:space="preserve">always show which estimate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 range across estimators bounds</w:t>
      </w:r>
      <w:r>
        <w:t xml:space="preserve"> </w:t>
      </w:r>
      <w:r>
        <w:t xml:space="preserve">“how tight is policy, really.”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Refs:</w:t>
      </w:r>
      <w:r>
        <w:t xml:space="preserve"> </w:t>
      </w:r>
      <w:hyperlink r:id="rId12">
        <w:r>
          <w:rPr>
            <w:rStyle w:val="Hyperlink"/>
          </w:rPr>
          <w:t xml:space="preserve">Dallas Fed r*</w:t>
        </w:r>
      </w:hyperlink>
      <w:r>
        <w:t xml:space="preserve"> </w:t>
      </w:r>
      <w:r>
        <w:t xml:space="preserve">·</w:t>
      </w:r>
      <w:r>
        <w:t xml:space="preserve"> </w:t>
      </w:r>
      <w:hyperlink r:id="rId9">
        <w:r>
          <w:rPr>
            <w:rStyle w:val="Hyperlink"/>
          </w:rPr>
          <w:t xml:space="preserve">Cleveland Fed</w:t>
        </w:r>
      </w:hyperlink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b.-rates-traders-macro-relative-value"/>
    <w:p>
      <w:pPr>
        <w:pStyle w:val="Heading2"/>
      </w:pPr>
      <w:r>
        <w:t xml:space="preserve">B. Rates traders (macro &amp; relative value)</w:t>
      </w:r>
    </w:p>
    <w:bookmarkStart w:id="18" w:name="Xcdb1e525b01949f9e58fbdab04767d4b0ab8f2a"/>
    <w:p>
      <w:pPr>
        <w:pStyle w:val="Heading3"/>
      </w:pPr>
      <w:r>
        <w:t xml:space="preserve">B1 — Affine term-structure / term-premium (ACM, Kim-Wright)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multi-factor affine dynamic term-structure model.</w:t>
      </w:r>
      <w:r>
        <w:t xml:space="preserve"> </w:t>
      </w:r>
      <w:r>
        <w:rPr>
          <w:b/>
          <w:bCs/>
        </w:rPr>
        <w:t xml:space="preserve">ACM</w:t>
      </w:r>
      <w:r>
        <w:t xml:space="preserve"> </w:t>
      </w:r>
      <w:r>
        <w:t xml:space="preserve">(Adrian-Crump-Moench, NY Fed) estimates it via a</w:t>
      </w:r>
      <w:r>
        <w:t xml:space="preserve"> </w:t>
      </w:r>
      <w:r>
        <w:rPr>
          <w:b/>
          <w:bCs/>
        </w:rPr>
        <w:t xml:space="preserve">three-step linear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on zero-coupon yields;</w:t>
      </w:r>
      <w:r>
        <w:t xml:space="preserve"> </w:t>
      </w:r>
      <w:r>
        <w:rPr>
          <w:b/>
          <w:bCs/>
        </w:rPr>
        <w:t xml:space="preserve">Kim-Wright</w:t>
      </w:r>
      <w:r>
        <w:t xml:space="preserve"> </w:t>
      </w:r>
      <w:r>
        <w:t xml:space="preserve">(Fed Board) is a 3-factor</w:t>
      </w:r>
      <w:r>
        <w:t xml:space="preserve"> </w:t>
      </w:r>
      <w:r>
        <w:t xml:space="preserve">arbitrage-free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zero-coupon yield curve (daily); pricing factors are the</w:t>
      </w:r>
      <w:r>
        <w:t xml:space="preserve"> </w:t>
      </w:r>
      <w:r>
        <w:t xml:space="preserve">curve’s own level/slope/curvature (PCA-like context).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decomposition of each yield into an</w:t>
      </w:r>
      <w:r>
        <w:t xml:space="preserve"> </w:t>
      </w:r>
      <w:r>
        <w:rPr>
          <w:b/>
          <w:bCs/>
        </w:rPr>
        <w:t xml:space="preserve">expectations</w:t>
      </w:r>
      <w:r>
        <w:t xml:space="preserve"> </w:t>
      </w:r>
      <w:r>
        <w:t xml:space="preserve">component and a</w:t>
      </w:r>
      <w:r>
        <w:t xml:space="preserve"> </w:t>
      </w:r>
      <w:r>
        <w:rPr>
          <w:b/>
          <w:bCs/>
        </w:rPr>
        <w:t xml:space="preserve">term premium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“of the 10y yield, this much is expected future short rates and</w:t>
      </w:r>
      <w:r>
        <w:t xml:space="preserve"> </w:t>
      </w:r>
      <w:r>
        <w:t xml:space="preserve">this much is the risk premium for holding duration.”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a selloff driven by</w:t>
      </w:r>
      <w:r>
        <w:t xml:space="preserve"> </w:t>
      </w:r>
      <w:r>
        <w:rPr>
          <w:i/>
          <w:iCs/>
        </w:rPr>
        <w:t xml:space="preserve">term premium</w:t>
      </w:r>
      <w:r>
        <w:t xml:space="preserve"> </w:t>
      </w:r>
      <w:r>
        <w:t xml:space="preserve">(supply, uncertainty) is</w:t>
      </w:r>
      <w:r>
        <w:t xml:space="preserve"> </w:t>
      </w:r>
      <w:r>
        <w:t xml:space="preserve">a different trade from one driven by</w:t>
      </w:r>
      <w:r>
        <w:t xml:space="preserve"> </w:t>
      </w:r>
      <w:r>
        <w:rPr>
          <w:i/>
          <w:iCs/>
        </w:rPr>
        <w:t xml:space="preserve">expectations</w:t>
      </w:r>
      <w:r>
        <w:t xml:space="preserve"> </w:t>
      </w:r>
      <w:r>
        <w:t xml:space="preserve">(repricing the Fed path).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 term-premium series is a positioning signal (rich/cheap</w:t>
      </w:r>
      <w:r>
        <w:t xml:space="preserve"> </w:t>
      </w:r>
      <w:r>
        <w:t xml:space="preserve">duration); the decomposition tells you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rates moved.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Refs:</w:t>
      </w:r>
      <w:r>
        <w:t xml:space="preserve"> </w:t>
      </w:r>
      <w:hyperlink r:id="rId15">
        <w:r>
          <w:rPr>
            <w:rStyle w:val="Hyperlink"/>
          </w:rPr>
          <w:t xml:space="preserve">NY Fed ACM / Treasury Term Premia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BIS term premia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Fed Kim-Wright robustness</w:t>
        </w:r>
      </w:hyperlink>
    </w:p>
    <w:bookmarkEnd w:id="18"/>
    <w:bookmarkStart w:id="19" w:name="b2-curve-factor-model-nelson-siegel-pca"/>
    <w:p>
      <w:pPr>
        <w:pStyle w:val="Heading3"/>
      </w:pPr>
      <w:r>
        <w:t xml:space="preserve">B2 — Curve factor model (Nelson-Siegel / PCA)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reduce the curve to 3 factors —</w:t>
      </w:r>
      <w:r>
        <w:t xml:space="preserve"> </w:t>
      </w:r>
      <w:r>
        <w:rPr>
          <w:b/>
          <w:bCs/>
        </w:rPr>
        <w:t xml:space="preserve">level, slope, curvature</w:t>
      </w:r>
      <w:r>
        <w:t xml:space="preserve"> </w:t>
      </w:r>
      <w:r>
        <w:t xml:space="preserve">(PCA) or</w:t>
      </w:r>
      <w:r>
        <w:t xml:space="preserve"> </w:t>
      </w:r>
      <w:r>
        <w:t xml:space="preserve">the Nelson-Siegel functional 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full curve (levels) and its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(factor moves).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factor loadings + fair-value residuals per tenor.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“this tenor is rich/cheap relative to the fitted curve.”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RV signals (butterflies, spreads); a large</w:t>
      </w:r>
      <w:r>
        <w:t xml:space="preserve"> </w:t>
      </w:r>
      <w:r>
        <w:t xml:space="preserve">curvature move is a different macro signal from a slope move.</w:t>
      </w:r>
    </w:p>
    <w:bookmarkEnd w:id="19"/>
    <w:bookmarkStart w:id="20" w:name="b3-carry-roll-down"/>
    <w:p>
      <w:pPr>
        <w:pStyle w:val="Heading3"/>
      </w:pPr>
      <w:r>
        <w:t xml:space="preserve">B3 — Carry &amp; roll-down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expected return of a rates position absent yield change = carry</w:t>
      </w:r>
      <w:r>
        <w:t xml:space="preserve"> </w:t>
      </w:r>
      <w:r>
        <w:t xml:space="preserve">(yield) + roll-down (sliding down a static curve).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curve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(level + slope), funding.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expected carry per position/tenor.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“you are paid this much to hold, if nothing moves.”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carry vs the fair-value/term-premium signal is the trade-selection</w:t>
      </w:r>
      <w:r>
        <w:t xml:space="preserve"> </w:t>
      </w:r>
      <w:r>
        <w:t xml:space="preserve">frame for a macro rates book.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.-credit-investor"/>
    <w:p>
      <w:pPr>
        <w:pStyle w:val="Heading2"/>
      </w:pPr>
      <w:r>
        <w:t xml:space="preserve">C. Credit investor</w:t>
      </w:r>
    </w:p>
    <w:bookmarkStart w:id="24" w:name="X5168716dec0fe19794f1cd5894358ebae4fe376"/>
    <w:p>
      <w:pPr>
        <w:pStyle w:val="Heading3"/>
      </w:pPr>
      <w:r>
        <w:t xml:space="preserve">C1 — Merton structural model / distance-to-default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equity is a</w:t>
      </w:r>
      <w:r>
        <w:t xml:space="preserve"> </w:t>
      </w:r>
      <w:r>
        <w:rPr>
          <w:b/>
          <w:bCs/>
        </w:rPr>
        <w:t xml:space="preserve">European call option on the firm’s assets</w:t>
      </w:r>
      <w:r>
        <w:t xml:space="preserve"> </w:t>
      </w:r>
      <w:r>
        <w:t xml:space="preserve">(Merton</w:t>
      </w:r>
      <w:r>
        <w:t xml:space="preserve"> </w:t>
      </w:r>
      <w:r>
        <w:t xml:space="preserve">1974); default occurs if asset value &lt; debt at maturity.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asset value &amp;</w:t>
      </w:r>
      <w:r>
        <w:t xml:space="preserve"> </w:t>
      </w:r>
      <w:r>
        <w:rPr>
          <w:b/>
          <w:bCs/>
        </w:rPr>
        <w:t xml:space="preserve">asset volatility</w:t>
      </w:r>
      <w:r>
        <w:t xml:space="preserve"> </w:t>
      </w:r>
      <w:r>
        <w:t xml:space="preserve">(inferred from equity value/vol),</w:t>
      </w:r>
      <w:r>
        <w:t xml:space="preserve"> </w:t>
      </w:r>
      <w:r>
        <w:t xml:space="preserve">debt (default point), horizon, risk-free rate. Equity vol is a level+change</w:t>
      </w:r>
      <w:r>
        <w:t xml:space="preserve"> </w:t>
      </w:r>
      <w:r>
        <w:t xml:space="preserve">input.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b/>
          <w:bCs/>
        </w:rPr>
        <w:t xml:space="preserve">distance-to-default</w:t>
      </w:r>
      <w:r>
        <w:t xml:space="preserve"> </w:t>
      </w:r>
      <w:r>
        <w:t xml:space="preserve">(number of asset-vol standard deviations to</w:t>
      </w:r>
      <w:r>
        <w:t xml:space="preserve"> </w:t>
      </w:r>
      <w:r>
        <w:t xml:space="preserve">the default point) → probability of default and an implied</w:t>
      </w:r>
      <w:r>
        <w:t xml:space="preserve"> </w:t>
      </w:r>
      <w:r>
        <w:rPr>
          <w:b/>
          <w:bCs/>
        </w:rPr>
        <w:t xml:space="preserve">credit spread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firm is DD standard deviations from default; the fair spread</w:t>
      </w:r>
      <w:r>
        <w:t xml:space="preserve"> </w:t>
      </w:r>
      <w:r>
        <w:t xml:space="preserve">is X.”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model spread vs market spread = rich/cheap credit; DD</w:t>
      </w:r>
      <w:r>
        <w:t xml:space="preserve"> </w:t>
      </w:r>
      <w:r>
        <w:rPr>
          <w:i/>
          <w:iCs/>
        </w:rPr>
        <w:t xml:space="preserve">falling</w:t>
      </w:r>
      <w:r>
        <w:t xml:space="preserve"> </w:t>
      </w:r>
      <w:r>
        <w:t xml:space="preserve">(its derivative) is an early-warning signal.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derives a spread</w:t>
      </w:r>
      <w:r>
        <w:t xml:space="preserve"> </w:t>
      </w:r>
      <w:r>
        <w:rPr>
          <w:b/>
          <w:bCs/>
        </w:rPr>
        <w:t xml:space="preserve">without bond prices</w:t>
      </w:r>
      <w:r>
        <w:t xml:space="preserve"> </w:t>
      </w:r>
      <w:r>
        <w:t xml:space="preserve">— useful where market data</w:t>
      </w:r>
      <w:r>
        <w:t xml:space="preserve"> </w:t>
      </w:r>
      <w:r>
        <w:t xml:space="preserve">are thin; the basis (model − market) is the trade.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Refs:</w:t>
      </w:r>
      <w:r>
        <w:t xml:space="preserve"> </w:t>
      </w:r>
      <w:hyperlink r:id="rId22">
        <w:r>
          <w:rPr>
            <w:rStyle w:val="Hyperlink"/>
          </w:rPr>
          <w:t xml:space="preserve">Merton structural model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MATLAB Merton DD</w:t>
        </w:r>
      </w:hyperlink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.-equity-multi-asset-pm"/>
    <w:p>
      <w:pPr>
        <w:pStyle w:val="Heading2"/>
      </w:pPr>
      <w:r>
        <w:t xml:space="preserve">D. Equity / multi-asset PM</w:t>
      </w:r>
    </w:p>
    <w:bookmarkStart w:id="28" w:name="X48034cbede770a7a8cb3f392bc9f748f8ba3e49"/>
    <w:p>
      <w:pPr>
        <w:pStyle w:val="Heading3"/>
      </w:pPr>
      <w:r>
        <w:t xml:space="preserve">D1 — Gordon growth / dividend discount &amp; the equity risk premium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P = D₁ / (r − g)</w:t>
      </w:r>
      <w:r>
        <w:t xml:space="preserve">; rearranged,</w:t>
      </w:r>
      <w:r>
        <w:t xml:space="preserve"> </w:t>
      </w:r>
      <w:r>
        <w:rPr>
          <w:b/>
          <w:bCs/>
        </w:rPr>
        <w:t xml:space="preserve">ERP ≈ dividend yield + g − long</w:t>
      </w:r>
      <w:r>
        <w:rPr>
          <w:b/>
          <w:bCs/>
        </w:rPr>
        <w:t xml:space="preserve"> </w:t>
      </w:r>
      <w:r>
        <w:rPr>
          <w:b/>
          <w:bCs/>
        </w:rPr>
        <w:t xml:space="preserve">government yield</w:t>
      </w:r>
      <w:r>
        <w:t xml:space="preserve">. Cost of equity via CAPM</w:t>
      </w:r>
      <w:r>
        <w:t xml:space="preserve"> </w:t>
      </w:r>
      <w:r>
        <w:rPr>
          <w:rStyle w:val="VerbatimChar"/>
        </w:rPr>
        <w:t xml:space="preserve">r = r_f + β·ERP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dividend/earnings yield (level), expected</w:t>
      </w:r>
      <w:r>
        <w:t xml:space="preserve"> </w:t>
      </w:r>
      <w:r>
        <w:rPr>
          <w:b/>
          <w:bCs/>
        </w:rPr>
        <w:t xml:space="preserve">growth g</w:t>
      </w:r>
      <w:r>
        <w:t xml:space="preserve"> </w:t>
      </w:r>
      <w:r>
        <w:t xml:space="preserve">(a</w:t>
      </w:r>
      <w:r>
        <w:t xml:space="preserve"> </w:t>
      </w:r>
      <w:r>
        <w:t xml:space="preserve">derivative/expectation), the long bond yield (level), real rates.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intrinsic value / implied ERP.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“equities offer this premium over bonds for this growth.”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Fed-model</w:t>
      </w:r>
      <w:r>
        <w:t xml:space="preserve"> </w:t>
      </w:r>
      <w:r>
        <w:t xml:space="preserve">comparison (earnings yield vs bond yield)</w:t>
      </w:r>
      <w:r>
        <w:t xml:space="preserve"> </w:t>
      </w:r>
      <w:r>
        <w:t xml:space="preserve">says rich/cheap vs bonds.</w:t>
      </w:r>
      <w:r>
        <w:t xml:space="preserve"> </w:t>
      </w:r>
      <w:r>
        <w:rPr>
          <w:i/>
          <w:iCs/>
        </w:rPr>
        <w:t xml:space="preserve">Caveat to encode: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r → g</w:t>
      </w:r>
      <w:r>
        <w:t xml:space="preserve">,</w:t>
      </w:r>
      <w:r>
        <w:t xml:space="preserve"> </w:t>
      </w:r>
      <w:r>
        <w:rPr>
          <w:rStyle w:val="VerbatimChar"/>
        </w:rPr>
        <w:t xml:space="preserve">(r−g) → 0</w:t>
      </w:r>
      <w:r>
        <w:t xml:space="preserve"> </w:t>
      </w:r>
      <w:r>
        <w:t xml:space="preserve">and value</w:t>
      </w:r>
      <w:r>
        <w:t xml:space="preserve"> </w:t>
      </w:r>
      <w:r>
        <w:t xml:space="preserve">explodes — the model has</w:t>
      </w:r>
      <w:r>
        <w:t xml:space="preserve"> </w:t>
      </w:r>
      <w:r>
        <w:rPr>
          <w:i/>
          <w:iCs/>
        </w:rPr>
        <w:t xml:space="preserve">broken down</w:t>
      </w:r>
      <w:r>
        <w:t xml:space="preserve">, not found infinite value; the agent must</w:t>
      </w:r>
      <w:r>
        <w:t xml:space="preserve"> </w:t>
      </w:r>
      <w:r>
        <w:t xml:space="preserve">flag this, not report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ERP vs its history and vs real rates is the allocation signal.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Refs:</w:t>
      </w:r>
      <w:r>
        <w:t xml:space="preserve"> </w:t>
      </w:r>
      <w:hyperlink r:id="rId26">
        <w:r>
          <w:rPr>
            <w:rStyle w:val="Hyperlink"/>
          </w:rPr>
          <w:t xml:space="preserve">Gordon ERP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Damodaran DDM</w:t>
        </w:r>
      </w:hyperlink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e.-fx-trader"/>
    <w:p>
      <w:pPr>
        <w:pStyle w:val="Heading2"/>
      </w:pPr>
      <w:r>
        <w:t xml:space="preserve">E. FX trader</w:t>
      </w:r>
    </w:p>
    <w:bookmarkStart w:id="32" w:name="X55adfeb4d79f3fd1e0269bc3f5d86aa0a9477b7"/>
    <w:p>
      <w:pPr>
        <w:pStyle w:val="Heading3"/>
      </w:pPr>
      <w:r>
        <w:t xml:space="preserve">E1 — Equilibrium exchange-rate models (PPP / BEER / FEER) and UIP/carry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b/>
          <w:bCs/>
        </w:rPr>
        <w:t xml:space="preserve">PPP</w:t>
      </w:r>
      <w:r>
        <w:t xml:space="preserve"> </w:t>
      </w:r>
      <w:r>
        <w:t xml:space="preserve">(long-run price-level parity);</w:t>
      </w:r>
      <w:r>
        <w:t xml:space="preserve"> </w:t>
      </w:r>
      <w:r>
        <w:rPr>
          <w:b/>
          <w:bCs/>
        </w:rPr>
        <w:t xml:space="preserve">BEER</w:t>
      </w:r>
      <w:r>
        <w:t xml:space="preserve"> </w:t>
      </w:r>
      <w:r>
        <w:t xml:space="preserve">(behavioural</w:t>
      </w:r>
      <w:r>
        <w:t xml:space="preserve"> </w:t>
      </w:r>
      <w:r>
        <w:t xml:space="preserve">equilibrium — a reduced-form regression on fundamentals);</w:t>
      </w:r>
      <w:r>
        <w:t xml:space="preserve"> </w:t>
      </w:r>
      <w:r>
        <w:rPr>
          <w:b/>
          <w:bCs/>
        </w:rPr>
        <w:t xml:space="preserve">FEER</w:t>
      </w:r>
      <w:r>
        <w:t xml:space="preserve"> </w:t>
      </w:r>
      <w:r>
        <w:t xml:space="preserve">(the rate</w:t>
      </w:r>
      <w:r>
        <w:t xml:space="preserve"> </w:t>
      </w:r>
      <w:r>
        <w:t xml:space="preserve">consistent with a sustainable current account);</w:t>
      </w:r>
      <w:r>
        <w:t xml:space="preserve"> </w:t>
      </w:r>
      <w:r>
        <w:rPr>
          <w:b/>
          <w:bCs/>
        </w:rPr>
        <w:t xml:space="preserve">UIP</w:t>
      </w:r>
      <w:r>
        <w:t xml:space="preserve"> </w:t>
      </w:r>
      <w:r>
        <w:t xml:space="preserve">(expected FX move offsets</w:t>
      </w:r>
      <w:r>
        <w:t xml:space="preserve"> </w:t>
      </w:r>
      <w:r>
        <w:t xml:space="preserve">the rate differential).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rate</w:t>
      </w:r>
      <w:r>
        <w:t xml:space="preserve"> </w:t>
      </w:r>
      <w:r>
        <w:rPr>
          <w:b/>
          <w:bCs/>
        </w:rPr>
        <w:t xml:space="preserve">differentials</w:t>
      </w:r>
      <w:r>
        <w:t xml:space="preserve"> </w:t>
      </w:r>
      <w:r>
        <w:t xml:space="preserve">and inflation</w:t>
      </w:r>
      <w:r>
        <w:t xml:space="preserve"> </w:t>
      </w:r>
      <w:r>
        <w:rPr>
          <w:b/>
          <w:bCs/>
        </w:rPr>
        <w:t xml:space="preserve">differentials</w:t>
      </w:r>
      <w:r>
        <w:t xml:space="preserve"> </w:t>
      </w:r>
      <w:r>
        <w:t xml:space="preserve">(derivative/</w:t>
      </w:r>
      <w:r>
        <w:t xml:space="preserve"> </w:t>
      </w:r>
      <w:r>
        <w:t xml:space="preserve">relative constructs), terms of trade, current account, productivity.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an equilibrium/fair-value exchange rate; UIP-implied forward path.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currency is X% mis-aligned vs fundamentals.”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UIP</w:t>
      </w:r>
      <w:r>
        <w:t xml:space="preserve"> </w:t>
      </w:r>
      <w:r>
        <w:rPr>
          <w:b/>
          <w:bCs/>
        </w:rPr>
        <w:t xml:space="preserve">fails empirically</w:t>
      </w:r>
      <w:r>
        <w:t xml:space="preserve"> </w:t>
      </w:r>
      <w:r>
        <w:t xml:space="preserve">— high-yielders don’t</w:t>
      </w:r>
      <w:r>
        <w:t xml:space="preserve"> </w:t>
      </w:r>
      <w:r>
        <w:t xml:space="preserve">depreciate as much as the differential implies — and</w:t>
      </w:r>
      <w:r>
        <w:t xml:space="preserve"> </w:t>
      </w:r>
      <w:r>
        <w:rPr>
          <w:i/>
          <w:iCs/>
        </w:rPr>
        <w:t xml:space="preserve">that failure is the carry</w:t>
      </w:r>
      <w:r>
        <w:rPr>
          <w:i/>
          <w:iCs/>
        </w:rPr>
        <w:t xml:space="preserve"> </w:t>
      </w:r>
      <w:r>
        <w:rPr>
          <w:i/>
          <w:iCs/>
        </w:rPr>
        <w:t xml:space="preserve">trade</w:t>
      </w:r>
      <w:r>
        <w:t xml:space="preserve">. The model’s value is often in where reality</w:t>
      </w:r>
      <w:r>
        <w:t xml:space="preserve"> </w:t>
      </w:r>
      <w:r>
        <w:rPr>
          <w:i/>
          <w:iCs/>
        </w:rPr>
        <w:t xml:space="preserve">deviates</w:t>
      </w:r>
      <w:r>
        <w:t xml:space="preserve"> </w:t>
      </w:r>
      <w:r>
        <w:t xml:space="preserve">from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Refs:</w:t>
      </w:r>
      <w:r>
        <w:t xml:space="preserve"> </w:t>
      </w:r>
      <w:hyperlink r:id="rId30">
        <w:r>
          <w:rPr>
            <w:rStyle w:val="Hyperlink"/>
          </w:rPr>
          <w:t xml:space="preserve">CFA parity conditions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Handbook: currency fair-value models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f.-commodity-analyst"/>
    <w:p>
      <w:pPr>
        <w:pStyle w:val="Heading2"/>
      </w:pPr>
      <w:r>
        <w:t xml:space="preserve">F. Commodity analyst</w:t>
      </w:r>
    </w:p>
    <w:bookmarkStart w:id="37" w:name="f1-theory-of-storage-convenience-yield"/>
    <w:p>
      <w:pPr>
        <w:pStyle w:val="Heading3"/>
      </w:pPr>
      <w:r>
        <w:t xml:space="preserve">F1 — Theory of storage / convenience yield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F = S + storage cost − convenience yield</w:t>
      </w:r>
      <w:r>
        <w:t xml:space="preserve"> </w:t>
      </w:r>
      <w:r>
        <w:t xml:space="preserve">(Kaldor 1939, Working 1949,</w:t>
      </w:r>
      <w:r>
        <w:t xml:space="preserve"> </w:t>
      </w:r>
      <w:r>
        <w:t xml:space="preserve">Brennan 1958). Working’s storage supply curve maps the price of storage against</w:t>
      </w:r>
      <w:r>
        <w:t xml:space="preserve"> </w:t>
      </w:r>
      <w:r>
        <w:t xml:space="preserve">inventory.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spot,</w:t>
      </w:r>
      <w:r>
        <w:t xml:space="preserve"> </w:t>
      </w:r>
      <w:r>
        <w:rPr>
          <w:b/>
          <w:bCs/>
        </w:rPr>
        <w:t xml:space="preserve">inventory level and its change</w:t>
      </w:r>
      <w:r>
        <w:t xml:space="preserve"> </w:t>
      </w:r>
      <w:r>
        <w:t xml:space="preserve">(the convenience yield is a</w:t>
      </w:r>
      <w:r>
        <w:t xml:space="preserve"> </w:t>
      </w:r>
      <w:r>
        <w:t xml:space="preserve">strongly non-linear function of inventory), storage cost, financing rate.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the fair futures curve shape —</w:t>
      </w:r>
      <w:r>
        <w:t xml:space="preserve"> </w:t>
      </w:r>
      <w:r>
        <w:rPr>
          <w:b/>
          <w:bCs/>
        </w:rPr>
        <w:t xml:space="preserve">contango</w:t>
      </w:r>
      <w:r>
        <w:t xml:space="preserve"> </w:t>
      </w:r>
      <w:r>
        <w:t xml:space="preserve">(ample inventory) vs</w:t>
      </w:r>
      <w:r>
        <w:t xml:space="preserve"> </w:t>
      </w:r>
      <w:r>
        <w:rPr>
          <w:b/>
          <w:bCs/>
        </w:rPr>
        <w:t xml:space="preserve">backwardation</w:t>
      </w:r>
      <w:r>
        <w:t xml:space="preserve"> </w:t>
      </w:r>
      <w:r>
        <w:t xml:space="preserve">(scarcity → high convenience yield).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curve should be in backwardation/contango given inventories.”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curve shape vs inventory trend is the positioning</w:t>
      </w:r>
      <w:r>
        <w:t xml:space="preserve"> </w:t>
      </w:r>
      <w:r>
        <w:t xml:space="preserve">signal; a</w:t>
      </w:r>
      <w:r>
        <w:t xml:space="preserve"> </w:t>
      </w:r>
      <w:r>
        <w:rPr>
          <w:b/>
          <w:bCs/>
        </w:rPr>
        <w:t xml:space="preserve">short-run scarcity shock</w:t>
      </w:r>
      <w:r>
        <w:t xml:space="preserve"> </w:t>
      </w:r>
      <w:r>
        <w:t xml:space="preserve">steepens backwardation non-linearly.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Refs:</w:t>
      </w:r>
      <w:r>
        <w:t xml:space="preserve"> </w:t>
      </w:r>
      <w:hyperlink r:id="rId34">
        <w:r>
          <w:rPr>
            <w:rStyle w:val="Hyperlink"/>
          </w:rPr>
          <w:t xml:space="preserve">Theory of storage / convenience yield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NBER commodity futures returns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IMF: curves &amp; inventories under scarcity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g.-volatility-trader"/>
    <w:p>
      <w:pPr>
        <w:pStyle w:val="Heading2"/>
      </w:pPr>
      <w:r>
        <w:t xml:space="preserve">G. Volatility trader</w:t>
      </w:r>
    </w:p>
    <w:bookmarkStart w:id="41" w:name="g1-variance-risk-premium-vrp"/>
    <w:p>
      <w:pPr>
        <w:pStyle w:val="Heading3"/>
      </w:pPr>
      <w:r>
        <w:t xml:space="preserve">G1 — Variance risk premium (VRP)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VRP = implied variance − expected realized variance</w:t>
      </w:r>
      <w:r>
        <w:t xml:space="preserve">; VIX</w:t>
      </w:r>
      <w:r>
        <w:t xml:space="preserve"> </w:t>
      </w:r>
      <w:r>
        <w:t xml:space="preserve">approximates 30-day expected realized vol nonparametrically; affine models fit</w:t>
      </w:r>
      <w:r>
        <w:t xml:space="preserve"> </w:t>
      </w:r>
      <w:r>
        <w:t xml:space="preserve">SPX + VIX jointly.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vol surface / VIX (implied, level+change) and</w:t>
      </w:r>
      <w:r>
        <w:t xml:space="preserve"> </w:t>
      </w:r>
      <w:r>
        <w:rPr>
          <w:b/>
          <w:bCs/>
        </w:rPr>
        <w:t xml:space="preserve">realized vol</w:t>
      </w:r>
      <w:r>
        <w:t xml:space="preserve"> </w:t>
      </w:r>
      <w:r>
        <w:t xml:space="preserve">(a derivative-of-price construct).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the premium paid for volatility insurance; a term structure of VRP.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“options are pricing this much more variance than is likely to</w:t>
      </w:r>
      <w:r>
        <w:t xml:space="preserve"> </w:t>
      </w:r>
      <w:r>
        <w:t xml:space="preserve">realise.”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a large positive VRP is compensation for selling</w:t>
      </w:r>
      <w:r>
        <w:t xml:space="preserve"> </w:t>
      </w:r>
      <w:r>
        <w:t xml:space="preserve">insurance; VRP vs its history is the vol-positioning signal; the</w:t>
      </w:r>
      <w:r>
        <w:t xml:space="preserve"> </w:t>
      </w:r>
      <w:r>
        <w:rPr>
          <w:i/>
          <w:iCs/>
        </w:rPr>
        <w:t xml:space="preserve">sign and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of VRP flag regime shifts.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Refs:</w:t>
      </w:r>
      <w:r>
        <w:t xml:space="preserve"> </w:t>
      </w:r>
      <w:hyperlink r:id="rId39">
        <w:r>
          <w:rPr>
            <w:rStyle w:val="Hyperlink"/>
          </w:rPr>
          <w:t xml:space="preserve">Carr-Wu Variance Risk Premia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Fed: variance risk premia &amp; returns</w:t>
        </w:r>
      </w:hyperlink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h.-economist-forecaster"/>
    <w:p>
      <w:pPr>
        <w:pStyle w:val="Heading2"/>
      </w:pPr>
      <w:r>
        <w:t xml:space="preserve">H. Economist / forecaster</w:t>
      </w:r>
    </w:p>
    <w:bookmarkStart w:id="44" w:name="h1-nowcasting-dynamic-factor-model"/>
    <w:p>
      <w:pPr>
        <w:pStyle w:val="Heading3"/>
      </w:pPr>
      <w:r>
        <w:t xml:space="preserve">H1 — Nowcasting (dynamic factor model)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dynamic factor model</w:t>
      </w:r>
      <w:r>
        <w:t xml:space="preserve"> </w:t>
      </w:r>
      <w:r>
        <w:t xml:space="preserve">extracts a common factor from many</w:t>
      </w:r>
      <w:r>
        <w:t xml:space="preserve"> </w:t>
      </w:r>
      <w:r>
        <w:t xml:space="preserve">higher-frequency series;</w:t>
      </w:r>
      <w:r>
        <w:t xml:space="preserve"> </w:t>
      </w:r>
      <w:r>
        <w:rPr>
          <w:b/>
          <w:bCs/>
        </w:rPr>
        <w:t xml:space="preserve">GDPNow</w:t>
      </w:r>
      <w:r>
        <w:t xml:space="preserve"> </w:t>
      </w:r>
      <w:r>
        <w:t xml:space="preserve">combines it with</w:t>
      </w:r>
      <w:r>
        <w:t xml:space="preserve"> </w:t>
      </w:r>
      <w:r>
        <w:rPr>
          <w:b/>
          <w:bCs/>
        </w:rPr>
        <w:t xml:space="preserve">bridge equations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BVARs</w:t>
      </w:r>
      <w:r>
        <w:t xml:space="preserve"> </w:t>
      </w:r>
      <w:r>
        <w:t xml:space="preserve">across 13 GDP subcomponents.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in ISM, construction, vehicle sales, trade,</w:t>
      </w:r>
      <w:r>
        <w:t xml:space="preserve"> </w:t>
      </w:r>
      <w:r>
        <w:t xml:space="preserve">employment, IP, housing starts, PPI/CPI — fundamentally a derivative-driven</w:t>
      </w:r>
      <w:r>
        <w:t xml:space="preserve"> </w:t>
      </w:r>
      <w:r>
        <w:t xml:space="preserve">model (§10).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running estimate of current-quarter real GDP that updates with</w:t>
      </w:r>
      <w:r>
        <w:t xml:space="preserve"> </w:t>
      </w:r>
      <w:r>
        <w:t xml:space="preserve">each release.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“given the data in so far, growth is tracking X%.”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Interpretation / insight:</w:t>
      </w:r>
      <w:r>
        <w:t xml:space="preserve"> </w:t>
      </w:r>
      <w:r>
        <w:t xml:space="preserve">the nowcast vs consensus, and its</w:t>
      </w:r>
      <w:r>
        <w:t xml:space="preserve"> </w:t>
      </w:r>
      <w:r>
        <w:rPr>
          <w:i/>
          <w:iCs/>
        </w:rPr>
        <w:t xml:space="preserve">revision path</w:t>
      </w:r>
      <w:r>
        <w:t xml:space="preserve"> </w:t>
      </w:r>
      <w:r>
        <w:t xml:space="preserve">(its own derivative) as data arrive, is the surprise/positioning signal.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Refs:</w:t>
      </w:r>
      <w:r>
        <w:t xml:space="preserve"> </w:t>
      </w:r>
      <w:hyperlink r:id="rId43">
        <w:r>
          <w:rPr>
            <w:rStyle w:val="Hyperlink"/>
          </w:rPr>
          <w:t xml:space="preserve">Atlanta Fed GDPNow</w:t>
        </w:r>
      </w:hyperlink>
    </w:p>
    <w:bookmarkEnd w:id="44"/>
    <w:bookmarkStart w:id="45" w:name="h2-surprise-vs-expectations"/>
    <w:p>
      <w:pPr>
        <w:pStyle w:val="Heading3"/>
      </w:pPr>
      <w:r>
        <w:t xml:space="preserve">H2 — Surprise vs expectations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surprise = actual − expected</w:t>
      </w:r>
      <w:r>
        <w:t xml:space="preserve">, where</w:t>
      </w:r>
      <w:r>
        <w:t xml:space="preserve"> </w:t>
      </w:r>
      <w:r>
        <w:t xml:space="preserve">“expected”</w:t>
      </w:r>
      <w:r>
        <w:t xml:space="preserve"> </w:t>
      </w:r>
      <w:r>
        <w:t xml:space="preserve">is market-implied</w:t>
      </w:r>
      <w:r>
        <w:t xml:space="preserve"> </w:t>
      </w:r>
      <w:r>
        <w:t xml:space="preserve">(OIS/Kalshi) or survey consensus.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print, and the pre-event expectation (already produced by UMD’s</w:t>
      </w:r>
      <w:r>
        <w:t xml:space="preserve"> </w:t>
      </w:r>
      <w:r>
        <w:t xml:space="preserve">expectations layer).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signed, scaled surprise; a surprise index across releases.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data beat/missed what was priced.”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 surprise, not the level, moves markets; this is the</w:t>
      </w:r>
      <w:r>
        <w:t xml:space="preserve"> </w:t>
      </w:r>
      <w:r>
        <w:t xml:space="preserve">“context vs</w:t>
      </w:r>
      <w:r>
        <w:t xml:space="preserve"> </w:t>
      </w:r>
      <w:r>
        <w:t xml:space="preserve">expectations”</w:t>
      </w:r>
      <w:r>
        <w:t xml:space="preserve"> </w:t>
      </w:r>
      <w:r>
        <w:t xml:space="preserve">order of §10 as a first-class series.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i.-event-prediction-market-trader"/>
    <w:p>
      <w:pPr>
        <w:pStyle w:val="Heading2"/>
      </w:pPr>
      <w:r>
        <w:t xml:space="preserve">I. Event / prediction-market trader</w:t>
      </w:r>
    </w:p>
    <w:bookmarkStart w:id="47" w:name="X4348c8516ad33a329406a30e1c96b376deeece4"/>
    <w:p>
      <w:pPr>
        <w:pStyle w:val="Heading3"/>
      </w:pPr>
      <w:r>
        <w:t xml:space="preserve">I1 — Implied distribution + calibration / bias-correction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convert contract prices to an implied probability distribution;</w:t>
      </w:r>
      <w:r>
        <w:t xml:space="preserve"> </w:t>
      </w:r>
      <w:r>
        <w:t xml:space="preserve">correct for known Kalshi biases; compare to a model fair value.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contract mids/orderbooks, the underlying macro model’s output.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calibrated implied distribution and an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(model − market).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Asserts:</w:t>
      </w:r>
      <w:r>
        <w:t xml:space="preserve"> </w:t>
      </w:r>
      <w:r>
        <w:t xml:space="preserve">“the crowd prices X%; the model says Y%.”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the edge and the calibration receipt (past implied vs realised) are</w:t>
      </w:r>
      <w:r>
        <w:t xml:space="preserve"> </w:t>
      </w:r>
      <w:r>
        <w:t xml:space="preserve">the trade and the credibility.</w:t>
      </w:r>
      <w:r>
        <w:t xml:space="preserve"> </w:t>
      </w:r>
      <w:r>
        <w:rPr>
          <w:i/>
          <w:iCs/>
        </w:rPr>
        <w:t xml:space="preserve">Already implemented in UMD</w:t>
      </w:r>
      <w:r>
        <w:t xml:space="preserve"> </w:t>
      </w:r>
      <w:r>
        <w:t xml:space="preserve">(</w:t>
      </w:r>
      <w:r>
        <w:rPr>
          <w:rStyle w:val="VerbatimChar"/>
        </w:rPr>
        <w:t xml:space="preserve">pm_service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kalshi_implied_distribution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kalshi_bias_correction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how-this-reference-is-used"/>
    <w:p>
      <w:pPr>
        <w:pStyle w:val="Heading2"/>
      </w:pPr>
      <w:r>
        <w:t xml:space="preserve">How this reference is used</w:t>
      </w:r>
    </w:p>
    <w:p>
      <w:pPr>
        <w:pStyle w:val="FirstParagraph"/>
      </w:pPr>
      <w:r>
        <w:t xml:space="preserve">Each model above becomes a</w:t>
      </w:r>
      <w:r>
        <w:t xml:space="preserve"> </w:t>
      </w:r>
      <w:r>
        <w:rPr>
          <w:rStyle w:val="VerbatimChar"/>
        </w:rPr>
        <w:t xml:space="preserve">ModelSpecification</w:t>
      </w:r>
      <w:r>
        <w:t xml:space="preserve"> </w:t>
      </w:r>
      <w:r>
        <w:t xml:space="preserve">node (§06) carrying its form,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 </w:t>
      </w:r>
      <w:r>
        <w:t xml:space="preserve">tuples (with the §10 derivative/context orders), its outputs,</w:t>
      </w:r>
      <w:r>
        <w:t xml:space="preserve"> </w:t>
      </w:r>
      <w:r>
        <w:t xml:space="preserve">and — critically for narration — a</w:t>
      </w:r>
      <w:r>
        <w:t xml:space="preserve"> </w:t>
      </w:r>
      <w:r>
        <w:rPr>
          <w:rStyle w:val="VerbatimChar"/>
          <w:b/>
          <w:bCs/>
        </w:rPr>
        <w:t xml:space="preserve">asserts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interpretation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so the</w:t>
      </w:r>
      <w:r>
        <w:t xml:space="preserve"> </w:t>
      </w:r>
      <w:r>
        <w:t xml:space="preserve">narrator agent (§12) can explain</w:t>
      </w:r>
      <w:r>
        <w:t xml:space="preserve"> </w:t>
      </w:r>
      <w:r>
        <w:rPr>
          <w:i/>
          <w:iCs/>
        </w:rPr>
        <w:t xml:space="preserve">what the number means</w:t>
      </w:r>
      <w:r>
        <w:t xml:space="preserve"> </w:t>
      </w:r>
      <w:r>
        <w:t xml:space="preserve">without inventing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IMPLEMENTED_BY</w:t>
      </w:r>
      <w:r>
        <w:t xml:space="preserve"> </w:t>
      </w:r>
      <w:r>
        <w:t xml:space="preserve">edge points at the 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function (present for</w:t>
      </w:r>
      <w:r>
        <w:t xml:space="preserve"> </w:t>
      </w:r>
      <w:r>
        <w:t xml:space="preserve">~55% today; the remainder are the build list in §07/§09). This reference is the</w:t>
      </w:r>
      <w:r>
        <w:t xml:space="preserve"> </w:t>
      </w:r>
      <w:r>
        <w:t xml:space="preserve">seed content; extending it from ArXiv/central-bank literature is the ongoing model</w:t>
      </w:r>
      <w:r>
        <w:t xml:space="preserve"> </w:t>
      </w:r>
      <w:r>
        <w:t xml:space="preserve">curation pipeline.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analystprep.com/study-notes/cfa-level-2/international-parity-conditions/" TargetMode="External" /><Relationship Type="http://schemas.openxmlformats.org/officeDocument/2006/relationships/hyperlink" Id="rId26" Target="https://breakingdownfinance.com/finance-topics/equity-valuation/gordon-equity-risk-premium-model/" TargetMode="External" /><Relationship Type="http://schemas.openxmlformats.org/officeDocument/2006/relationships/hyperlink" Id="rId39" Target="https://engineering.nyu.edu/sites/default/files/2019-01/CarrReviewofFinStudiesMarch2009-a.pdf" TargetMode="External" /><Relationship Type="http://schemas.openxmlformats.org/officeDocument/2006/relationships/hyperlink" Id="rId15" Target="https://libertystreeteconomics.newyorkfed.org/2014/05/treasury-term-premia-1961-present/" TargetMode="External" /><Relationship Type="http://schemas.openxmlformats.org/officeDocument/2006/relationships/hyperlink" Id="rId31" Target="https://onlinelibrary.wiley.com/doi/10.1002/9781118445785.ch11" TargetMode="External" /><Relationship Type="http://schemas.openxmlformats.org/officeDocument/2006/relationships/hyperlink" Id="rId27" Target="https://pages.stern.nyu.edu/~adamodar/pdfiles/ddm.pdf" TargetMode="External" /><Relationship Type="http://schemas.openxmlformats.org/officeDocument/2006/relationships/hyperlink" Id="rId22" Target="https://ryanoconnellfinance.com/merton-structural-credit-model/" TargetMode="External" /><Relationship Type="http://schemas.openxmlformats.org/officeDocument/2006/relationships/hyperlink" Id="rId43" Target="https://www.atlantafed.org/research-and-data/data/gdpnow/explainer" TargetMode="External" /><Relationship Type="http://schemas.openxmlformats.org/officeDocument/2006/relationships/hyperlink" Id="rId16" Target="https://www.bis.org/publ/qtrpdf/r_qt1809h.pdf" TargetMode="External" /><Relationship Type="http://schemas.openxmlformats.org/officeDocument/2006/relationships/hyperlink" Id="rId9" Target="https://www.clevelandfed.org/publications/economic-commentary/2016/ec-201601-the-natural-rate-of-interest-in-taylor-rules" TargetMode="External" /><Relationship Type="http://schemas.openxmlformats.org/officeDocument/2006/relationships/hyperlink" Id="rId12" Target="https://www.dallasfed.org/research/economics/2023/0703" TargetMode="External" /><Relationship Type="http://schemas.openxmlformats.org/officeDocument/2006/relationships/hyperlink" Id="rId34" Target="https://www.equicurious.com/learn/derivatives/futures-and-forwards/commodity-futures-storage-and-convenience-yield" TargetMode="External" /><Relationship Type="http://schemas.openxmlformats.org/officeDocument/2006/relationships/hyperlink" Id="rId17" Target="https://www.federalreserve.gov/econres/notes/feds-notes/robustness-of-long-maturity-term-premium-estimates-20170403.html" TargetMode="External" /><Relationship Type="http://schemas.openxmlformats.org/officeDocument/2006/relationships/hyperlink" Id="rId40" Target="https://www.federalreserve.gov/pubs/feds/2007/200711/200711pap.pdf" TargetMode="External" /><Relationship Type="http://schemas.openxmlformats.org/officeDocument/2006/relationships/hyperlink" Id="rId36" Target="https://www.imf.org/external/pubs/ft/wp/2010/wp10222.pdf" TargetMode="External" /><Relationship Type="http://schemas.openxmlformats.org/officeDocument/2006/relationships/hyperlink" Id="rId10" Target="https://www.kansascityfed.org/documents/11203/Taylor_Rule.pdf" TargetMode="External" /><Relationship Type="http://schemas.openxmlformats.org/officeDocument/2006/relationships/hyperlink" Id="rId23" Target="https://www.mathworks.com/help/risk/default-probability-using-the-merton-model-for-structural-credit-risk.html" TargetMode="External" /><Relationship Type="http://schemas.openxmlformats.org/officeDocument/2006/relationships/hyperlink" Id="rId35" Target="https://www.nber.org/system/files/working_papers/w13249/w1324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nalystprep.com/study-notes/cfa-level-2/international-parity-conditions/" TargetMode="External" /><Relationship Type="http://schemas.openxmlformats.org/officeDocument/2006/relationships/hyperlink" Id="rId26" Target="https://breakingdownfinance.com/finance-topics/equity-valuation/gordon-equity-risk-premium-model/" TargetMode="External" /><Relationship Type="http://schemas.openxmlformats.org/officeDocument/2006/relationships/hyperlink" Id="rId39" Target="https://engineering.nyu.edu/sites/default/files/2019-01/CarrReviewofFinStudiesMarch2009-a.pdf" TargetMode="External" /><Relationship Type="http://schemas.openxmlformats.org/officeDocument/2006/relationships/hyperlink" Id="rId15" Target="https://libertystreeteconomics.newyorkfed.org/2014/05/treasury-term-premia-1961-present/" TargetMode="External" /><Relationship Type="http://schemas.openxmlformats.org/officeDocument/2006/relationships/hyperlink" Id="rId31" Target="https://onlinelibrary.wiley.com/doi/10.1002/9781118445785.ch11" TargetMode="External" /><Relationship Type="http://schemas.openxmlformats.org/officeDocument/2006/relationships/hyperlink" Id="rId27" Target="https://pages.stern.nyu.edu/~adamodar/pdfiles/ddm.pdf" TargetMode="External" /><Relationship Type="http://schemas.openxmlformats.org/officeDocument/2006/relationships/hyperlink" Id="rId22" Target="https://ryanoconnellfinance.com/merton-structural-credit-model/" TargetMode="External" /><Relationship Type="http://schemas.openxmlformats.org/officeDocument/2006/relationships/hyperlink" Id="rId43" Target="https://www.atlantafed.org/research-and-data/data/gdpnow/explainer" TargetMode="External" /><Relationship Type="http://schemas.openxmlformats.org/officeDocument/2006/relationships/hyperlink" Id="rId16" Target="https://www.bis.org/publ/qtrpdf/r_qt1809h.pdf" TargetMode="External" /><Relationship Type="http://schemas.openxmlformats.org/officeDocument/2006/relationships/hyperlink" Id="rId9" Target="https://www.clevelandfed.org/publications/economic-commentary/2016/ec-201601-the-natural-rate-of-interest-in-taylor-rules" TargetMode="External" /><Relationship Type="http://schemas.openxmlformats.org/officeDocument/2006/relationships/hyperlink" Id="rId12" Target="https://www.dallasfed.org/research/economics/2023/0703" TargetMode="External" /><Relationship Type="http://schemas.openxmlformats.org/officeDocument/2006/relationships/hyperlink" Id="rId34" Target="https://www.equicurious.com/learn/derivatives/futures-and-forwards/commodity-futures-storage-and-convenience-yield" TargetMode="External" /><Relationship Type="http://schemas.openxmlformats.org/officeDocument/2006/relationships/hyperlink" Id="rId17" Target="https://www.federalreserve.gov/econres/notes/feds-notes/robustness-of-long-maturity-term-premium-estimates-20170403.html" TargetMode="External" /><Relationship Type="http://schemas.openxmlformats.org/officeDocument/2006/relationships/hyperlink" Id="rId40" Target="https://www.federalreserve.gov/pubs/feds/2007/200711/200711pap.pdf" TargetMode="External" /><Relationship Type="http://schemas.openxmlformats.org/officeDocument/2006/relationships/hyperlink" Id="rId36" Target="https://www.imf.org/external/pubs/ft/wp/2010/wp10222.pdf" TargetMode="External" /><Relationship Type="http://schemas.openxmlformats.org/officeDocument/2006/relationships/hyperlink" Id="rId10" Target="https://www.kansascityfed.org/documents/11203/Taylor_Rule.pdf" TargetMode="External" /><Relationship Type="http://schemas.openxmlformats.org/officeDocument/2006/relationships/hyperlink" Id="rId23" Target="https://www.mathworks.com/help/risk/default-probability-using-the-merton-model-for-structural-credit-risk.html" TargetMode="External" /><Relationship Type="http://schemas.openxmlformats.org/officeDocument/2006/relationships/hyperlink" Id="rId35" Target="https://www.nber.org/system/files/working_papers/w13249/w1324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2026-07-10T10:58:56Z</dcterms:created>
  <dcterms:modified xsi:type="dcterms:W3CDTF">2026-07-10T10:58:56Z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