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8f82fbb9fb8aaf8e232ad10dbc09c904128e1d1"/>
    <w:p>
      <w:pPr>
        <w:pStyle w:val="Heading1"/>
      </w:pPr>
      <w:r>
        <w:t xml:space="preserve">12 — SoTA Agentic Architecture, Prompting &amp; Context Engineering</w:t>
      </w:r>
    </w:p>
    <w:p>
      <w:pPr>
        <w:pStyle w:val="FirstParagraph"/>
      </w:pPr>
      <w:r>
        <w:t xml:space="preserve">The earlier drafts asserted a seven-role pipeline (§06) without reviewing</w:t>
      </w:r>
      <w:r>
        <w:t xml:space="preserve"> </w:t>
      </w:r>
      <w:r>
        <w:rPr>
          <w:i/>
          <w:iCs/>
        </w:rPr>
        <w:t xml:space="preserve">how</w:t>
      </w:r>
      <w:r>
        <w:t xml:space="preserve">,</w:t>
      </w:r>
      <w:r>
        <w:t xml:space="preserve"> </w:t>
      </w:r>
      <w:r>
        <w:t xml:space="preserve">in 2026 practice, such agents are actually built, prompted, and kept reliable.</w:t>
      </w:r>
      <w:r>
        <w:t xml:space="preserve"> </w:t>
      </w:r>
      <w:r>
        <w:t xml:space="preserve">This document supplies that review and maps it onto the model-grounded pipeline.</w:t>
      </w:r>
      <w:r>
        <w:t xml:space="preserve"> </w:t>
      </w:r>
      <w:r>
        <w:t xml:space="preserve">The governing constraint throughout:</w:t>
      </w:r>
      <w:r>
        <w:t xml:space="preserve"> </w:t>
      </w:r>
      <w:r>
        <w:rPr>
          <w:b/>
          <w:bCs/>
        </w:rPr>
        <w:t xml:space="preserve">the LLM selects, plans, and narrates; it</w:t>
      </w:r>
      <w:r>
        <w:rPr>
          <w:b/>
          <w:bCs/>
        </w:rPr>
        <w:t xml:space="preserve"> </w:t>
      </w:r>
      <w:r>
        <w:rPr>
          <w:b/>
          <w:bCs/>
        </w:rPr>
        <w:t xml:space="preserve">never authors a number.</w:t>
      </w:r>
      <w:r>
        <w:t xml:space="preserve"> </w:t>
      </w:r>
      <w:r>
        <w:t xml:space="preserve">Everything below is chosen to enforce that.</w:t>
      </w:r>
    </w:p>
    <w:bookmarkStart w:id="12" w:name="X71aceba7b02fb9b0cabef0a58e5452337821015"/>
    <w:p>
      <w:pPr>
        <w:pStyle w:val="Heading2"/>
      </w:pPr>
      <w:r>
        <w:t xml:space="preserve">1. The agentic design patterns (and where each is used)</w:t>
      </w:r>
    </w:p>
    <w:p>
      <w:pPr>
        <w:pStyle w:val="FirstParagraph"/>
      </w:pPr>
      <w:r>
        <w:t xml:space="preserve">The 2026 literature has converged on a small vocabulary of patterns; production</w:t>
      </w:r>
      <w:r>
        <w:t xml:space="preserve"> </w:t>
      </w:r>
      <w:r>
        <w:t xml:space="preserve">systems combine them rather than picking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 in our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Decompose the task before acting</w:t>
            </w:r>
          </w:p>
        </w:tc>
        <w:tc>
          <w:tcPr/>
          <w:p>
            <w:pPr>
              <w:pStyle w:val="Compact"/>
            </w:pPr>
            <w:r>
              <w:t xml:space="preserve">Planner: frame the decision(s) and decision-maker(s) at stake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Classify intent → dispatch to a specialist</w:t>
            </w:r>
          </w:p>
        </w:tc>
        <w:tc>
          <w:tcPr/>
          <w:p>
            <w:pPr>
              <w:pStyle w:val="Compact"/>
            </w:pPr>
            <w:r>
              <w:t xml:space="preserve">Route a subject to the relevant persona/model family;</w:t>
            </w:r>
            <w:r>
              <w:t xml:space="preserve"> </w:t>
            </w:r>
            <w:r>
              <w:t xml:space="preserve">“misrouting → invalid narrative”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Use / Context-Augmentation</w:t>
            </w:r>
          </w:p>
        </w:tc>
        <w:tc>
          <w:tcPr/>
          <w:p>
            <w:pPr>
              <w:pStyle w:val="Compact"/>
            </w:pPr>
            <w:r>
              <w:t xml:space="preserve">LLM selects external tools/data; never computes internally</w:t>
            </w:r>
          </w:p>
        </w:tc>
        <w:tc>
          <w:tcPr/>
          <w:p>
            <w:pPr>
              <w:pStyle w:val="Compact"/>
            </w:pPr>
            <w:r>
              <w:t xml:space="preserve">Model-Selection + Executor: numbers come from tools/DB,</w:t>
            </w:r>
            <w:r>
              <w:t xml:space="preserve"> </w:t>
            </w:r>
            <w:r>
              <w:t xml:space="preserve">“never performs arithmetic internally”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Prompt-Chaining</w:t>
            </w:r>
          </w:p>
        </w:tc>
        <w:tc>
          <w:tcPr/>
          <w:p>
            <w:pPr>
              <w:pStyle w:val="Compact"/>
            </w:pPr>
            <w:r>
              <w:t xml:space="preserve">Sequential subtasks passing</w:t>
            </w:r>
            <w:r>
              <w:t xml:space="preserve"> </w:t>
            </w:r>
            <w:r>
              <w:rPr>
                <w:b/>
                <w:bCs/>
              </w:rPr>
              <w:t xml:space="preserve">structured</w:t>
            </w:r>
            <w:r>
              <w:t xml:space="preserve"> </w:t>
            </w:r>
            <w:r>
              <w:t xml:space="preserve">data, with validation gates between</w:t>
            </w:r>
          </w:p>
        </w:tc>
        <w:tc>
          <w:tcPr/>
          <w:p>
            <w:pPr>
              <w:pStyle w:val="Compact"/>
            </w:pPr>
            <w:r>
              <w:t xml:space="preserve">select → execute → validate → narrate;</w:t>
            </w:r>
            <w:r>
              <w:t xml:space="preserve"> </w:t>
            </w:r>
            <w:r>
              <w:t xml:space="preserve">“insert validation gates so mistakes don’t cascade”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Parallelization</w:t>
            </w:r>
          </w:p>
        </w:tc>
        <w:tc>
          <w:tcPr/>
          <w:p>
            <w:pPr>
              <w:pStyle w:val="Compact"/>
            </w:pPr>
            <w:r>
              <w:t xml:space="preserve">Independent subtasks concurrently; voting/consensus</w:t>
            </w:r>
          </w:p>
        </w:tc>
        <w:tc>
          <w:tcPr/>
          <w:p>
            <w:pPr>
              <w:pStyle w:val="Compact"/>
            </w:pPr>
            <w:r>
              <w:t xml:space="preserve">run several candidate models / independent checks; majority-vote on a number’s provenance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Orchestrator-Workers</w:t>
            </w:r>
          </w:p>
        </w:tc>
        <w:tc>
          <w:tcPr/>
          <w:p>
            <w:pPr>
              <w:pStyle w:val="Compact"/>
            </w:pPr>
            <w:r>
              <w:t xml:space="preserve">Central LLM decomposes and delegates; workers retrieve, never author</w:t>
            </w:r>
          </w:p>
        </w:tc>
        <w:tc>
          <w:tcPr/>
          <w:p>
            <w:pPr>
              <w:pStyle w:val="Compact"/>
            </w:pPr>
            <w:r>
              <w:t xml:space="preserve">orchestrate which workers fetch which model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Self-critique and revise before returning</w:t>
            </w:r>
          </w:p>
        </w:tc>
        <w:tc>
          <w:tcPr/>
          <w:p>
            <w:pPr>
              <w:pStyle w:val="Compact"/>
            </w:pPr>
            <w:r>
              <w:t xml:space="preserve">narrator reviews prose against the output table before emitting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Evaluator-Optimizer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judge scores against explicit criteria; generator revises</w:t>
            </w:r>
          </w:p>
        </w:tc>
        <w:tc>
          <w:tcPr/>
          <w:p>
            <w:pPr>
              <w:pStyle w:val="Compact"/>
            </w:pPr>
            <w:r>
              <w:t xml:space="preserve">the Judge (below) —</w:t>
            </w:r>
            <w:r>
              <w:t xml:space="preserve"> </w:t>
            </w:r>
            <w:r>
              <w:t xml:space="preserve">“makes quality measurable rather than vibes-based”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philosophy (explicit in the sources):</w:t>
      </w:r>
      <w:r>
        <w:t xml:space="preserve"> </w:t>
      </w:r>
      <w:r>
        <w:rPr>
          <w:i/>
          <w:iCs/>
        </w:rPr>
        <w:t xml:space="preserve">start simple; add agentic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 only when a simpler solution falls short.</w:t>
      </w:r>
      <w:r>
        <w:t xml:space="preserve"> </w:t>
      </w:r>
      <w:r>
        <w:t xml:space="preserve">The pipeline should be the</w:t>
      </w:r>
      <w:r>
        <w:t xml:space="preserve"> </w:t>
      </w:r>
      <w:r>
        <w:t xml:space="preserve">minimum set of these patterns that enforces number-grounding — not a maximal</w:t>
      </w:r>
      <w:r>
        <w:t xml:space="preserve"> </w:t>
      </w:r>
      <w:r>
        <w:t xml:space="preserve">multi-agent sprawl.</w:t>
      </w:r>
    </w:p>
    <w:p>
      <w:pPr>
        <w:pStyle w:val="CaptionedFigure"/>
      </w:pPr>
      <w:r>
        <w:drawing>
          <wp:inline>
            <wp:extent cx="5334000" cy="15332205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12-agentic-architecture-and-prompting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"/>
    <w:bookmarkStart w:id="13" w:name="Xd869ce58cc875ffd25e685e0bd149a5b6d05e8b"/>
    <w:p>
      <w:pPr>
        <w:pStyle w:val="Heading2"/>
      </w:pPr>
      <w:r>
        <w:t xml:space="preserve">2. Structured output — the mechanism that forbids invented numbers</w:t>
      </w:r>
    </w:p>
    <w:p>
      <w:pPr>
        <w:pStyle w:val="FirstParagraph"/>
      </w:pPr>
      <w:r>
        <w:t xml:space="preserve">Between every stage, data passes as a</w:t>
      </w:r>
      <w:r>
        <w:t xml:space="preserve"> </w:t>
      </w:r>
      <w:r>
        <w:rPr>
          <w:b/>
          <w:bCs/>
        </w:rPr>
        <w:t xml:space="preserve">schema</w:t>
      </w:r>
      <w:r>
        <w:t xml:space="preserve">, not prose. The canonical</w:t>
      </w:r>
      <w:r>
        <w:t xml:space="preserve"> </w:t>
      </w:r>
      <w:r>
        <w:t xml:space="preserve">number-carrying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"reaction_function_implied_rate"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"model_run:MR-2026-07-10-taylor99"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"source_computation"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"taylor1999(pi=4.17, dpi=+0.3, gap=-0.4, rstar=0.9)"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Because the narrator receives only these objects (and the model’s</w:t>
      </w:r>
      <w:r>
        <w:t xml:space="preserve"> </w:t>
      </w:r>
      <w:r>
        <w:rPr>
          <w:rStyle w:val="VerbatimChar"/>
        </w:rPr>
        <w:t xml:space="preserve">asserts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text from §11), it can</w:t>
      </w:r>
      <w:r>
        <w:t xml:space="preserve"> </w:t>
      </w:r>
      <w:r>
        <w:rPr>
          <w:i/>
          <w:iCs/>
        </w:rPr>
        <w:t xml:space="preserve">explain</w:t>
      </w:r>
      <w:r>
        <w:t xml:space="preserve"> </w:t>
      </w:r>
      <w:r>
        <w:t xml:space="preserve">the number but has nothing to</w:t>
      </w:r>
      <w:r>
        <w:t xml:space="preserve"> </w:t>
      </w:r>
      <w:r>
        <w:t xml:space="preserve">invent from. This is the Infogen/LIDA principle (§01) at the data-flow level:</w:t>
      </w:r>
      <w:r>
        <w:t xml:space="preserve"> </w:t>
      </w:r>
      <w:r>
        <w:t xml:space="preserve">“pass only retrieved/computed fields to the narrative LLM, not raw documents —</w:t>
      </w:r>
      <w:r>
        <w:t xml:space="preserve"> </w:t>
      </w:r>
      <w:r>
        <w:t xml:space="preserve">this constrains the LLM to narrating selections, not generating numbers.”</w:t>
      </w:r>
    </w:p>
    <w:bookmarkEnd w:id="13"/>
    <w:bookmarkStart w:id="14" w:name="X965c1608e832db2838f261bb367d31a25dbafc9"/>
    <w:p>
      <w:pPr>
        <w:pStyle w:val="Heading2"/>
      </w:pPr>
      <w:r>
        <w:t xml:space="preserve">3. The Judge (Evaluator-Optimizer) — measurable quality, not vibes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agent scores each artifact against explicit, objective criteria</w:t>
      </w:r>
      <w:r>
        <w:t xml:space="preserve"> </w:t>
      </w:r>
      <w:r>
        <w:t xml:space="preserve">(adapted from the AI-Economist-Agent judge, §01):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grounding</w:t>
      </w:r>
      <w:r>
        <w:t xml:space="preserve"> </w:t>
      </w:r>
      <w:r>
        <w:t xml:space="preserve">— every quantitative claim traces to a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. Naming a model without an executed run scores zero.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Numerical discipline</w:t>
      </w:r>
      <w:r>
        <w:t xml:space="preserve"> </w:t>
      </w:r>
      <w:r>
        <w:t xml:space="preserve">— no number appears without provenance metadata; the</w:t>
      </w:r>
      <w:r>
        <w:t xml:space="preserve"> </w:t>
      </w:r>
      <w:r>
        <w:t xml:space="preserve">narrative never contradicts the output 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Interpretation vs computation</w:t>
      </w:r>
      <w:r>
        <w:t xml:space="preserve"> </w:t>
      </w:r>
      <w:r>
        <w:t xml:space="preserve">— the prose distinguishes the model’s</w:t>
      </w:r>
      <w:r>
        <w:t xml:space="preserve"> </w:t>
      </w:r>
      <w:r>
        <w:rPr>
          <w:i/>
          <w:iCs/>
        </w:rPr>
        <w:t xml:space="preserve">interpretation</w:t>
      </w:r>
      <w:r>
        <w:t xml:space="preserve"> </w:t>
      </w:r>
      <w:r>
        <w:t xml:space="preserve">(qualitative) from its</w:t>
      </w:r>
      <w:r>
        <w:t xml:space="preserve"> </w:t>
      </w:r>
      <w:r>
        <w:rPr>
          <w:i/>
          <w:iCs/>
        </w:rPr>
        <w:t xml:space="preserve">computed</w:t>
      </w:r>
      <w:r>
        <w:t xml:space="preserve"> </w:t>
      </w:r>
      <w:r>
        <w:t xml:space="preserve">figures (quantitative).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Derivative correctness (§10)</w:t>
      </w:r>
      <w:r>
        <w:t xml:space="preserve"> </w:t>
      </w:r>
      <w:r>
        <w:t xml:space="preserve">— where a model consumes a rate of change or</w:t>
      </w:r>
      <w:r>
        <w:t xml:space="preserve"> </w:t>
      </w:r>
      <w:r>
        <w:t xml:space="preserve">acceleration, the prose reflects direction and speed, not just level.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 the artifact exposes enough to trace every claim to its source.</w:t>
      </w:r>
    </w:p>
    <w:p>
      <w:pPr>
        <w:pStyle w:val="FirstParagraph"/>
      </w:pPr>
      <w:r>
        <w:t xml:space="preserve">Failure routes to revision (Reflection).</w:t>
      </w:r>
      <w:r>
        <w:t xml:space="preserve"> </w:t>
      </w:r>
      <w:r>
        <w:t xml:space="preserve">“Poorly designed stopping criteria trap</w:t>
      </w:r>
      <w:r>
        <w:t xml:space="preserve"> </w:t>
      </w:r>
      <w:r>
        <w:t xml:space="preserve">systems in suboptimal states”</w:t>
      </w:r>
      <w:r>
        <w:t xml:space="preserve"> </w:t>
      </w:r>
      <w:r>
        <w:t xml:space="preserve">— so the gate is</w:t>
      </w:r>
      <w:r>
        <w:t xml:space="preserve"> </w:t>
      </w:r>
      <w:r>
        <w:rPr>
          <w:i/>
          <w:iCs/>
        </w:rPr>
        <w:t xml:space="preserve">source-verification passing</w:t>
      </w:r>
      <w:r>
        <w:t xml:space="preserve">, not</w:t>
      </w:r>
      <w:r>
        <w:t xml:space="preserve"> </w:t>
      </w:r>
      <w:r>
        <w:t xml:space="preserve">a turn count, and — per §04 — the ultimate acceptance is a</w:t>
      </w:r>
      <w:r>
        <w:t xml:space="preserve"> </w:t>
      </w:r>
      <w:r>
        <w:rPr>
          <w:b/>
          <w:bCs/>
        </w:rPr>
        <w:t xml:space="preserve">human looking at the</w:t>
      </w:r>
      <w:r>
        <w:rPr>
          <w:b/>
          <w:bCs/>
        </w:rPr>
        <w:t xml:space="preserve"> </w:t>
      </w:r>
      <w:r>
        <w:rPr>
          <w:b/>
          <w:bCs/>
        </w:rPr>
        <w:t xml:space="preserve">artifact</w:t>
      </w:r>
      <w:r>
        <w:t xml:space="preserve">, with the Judge as an aid, never the definition of done.</w:t>
      </w:r>
    </w:p>
    <w:bookmarkEnd w:id="14"/>
    <w:bookmarkStart w:id="18" w:name="X131410dde42f2db7b8e6d955a692e56782ae1dc"/>
    <w:p>
      <w:pPr>
        <w:pStyle w:val="Heading2"/>
      </w:pPr>
      <w:r>
        <w:t xml:space="preserve">4. Context engineering — the discipline that makes it reliable</w:t>
      </w:r>
    </w:p>
    <w:p>
      <w:pPr>
        <w:pStyle w:val="FirstParagraph"/>
      </w:pPr>
      <w:r>
        <w:t xml:space="preserve">“Most agent failures aren’t model failures; they’re</w:t>
      </w:r>
      <w:r>
        <w:t xml:space="preserve"> </w:t>
      </w:r>
      <w:r>
        <w:rPr>
          <w:b/>
          <w:bCs/>
        </w:rPr>
        <w:t xml:space="preserve">context failures</w:t>
      </w:r>
      <w:r>
        <w:t xml:space="preserve">.”</w:t>
      </w:r>
      <w:r>
        <w:t xml:space="preserve"> </w:t>
      </w:r>
      <w:r>
        <w:t xml:space="preserve">The</w:t>
      </w:r>
      <w:r>
        <w:t xml:space="preserve"> </w:t>
      </w:r>
      <w:r>
        <w:t xml:space="preserve">2026 practice: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tiers.</w:t>
      </w:r>
      <w:r>
        <w:t xml:space="preserve"> </w:t>
      </w:r>
      <w:r>
        <w:rPr>
          <w:i/>
          <w:iCs/>
        </w:rPr>
        <w:t xml:space="preserve">Working</w:t>
      </w:r>
      <w:r>
        <w:t xml:space="preserve"> </w:t>
      </w:r>
      <w:r>
        <w:t xml:space="preserve">(the live window),</w:t>
      </w:r>
      <w:r>
        <w:t xml:space="preserve"> </w:t>
      </w:r>
      <w:r>
        <w:rPr>
          <w:i/>
          <w:iCs/>
        </w:rPr>
        <w:t xml:space="preserve">short-term</w:t>
      </w:r>
      <w:r>
        <w:t xml:space="preserve"> </w:t>
      </w:r>
      <w:r>
        <w:t xml:space="preserve">(this run’s tool</w:t>
      </w:r>
      <w:r>
        <w:t xml:space="preserve"> </w:t>
      </w:r>
      <w:r>
        <w:t xml:space="preserve">results),</w:t>
      </w:r>
      <w:r>
        <w:t xml:space="preserve"> </w:t>
      </w:r>
      <w:r>
        <w:rPr>
          <w:i/>
          <w:iCs/>
        </w:rPr>
        <w:t xml:space="preserve">long-term</w:t>
      </w:r>
      <w:r>
        <w:t xml:space="preserve"> </w:t>
      </w:r>
      <w:r>
        <w:t xml:space="preserve">(cross-run: editorial preferences, prior calibration,</w:t>
      </w:r>
      <w:r>
        <w:t xml:space="preserve"> </w:t>
      </w:r>
      <w:r>
        <w:t xml:space="preserve">model provenance) — with a</w:t>
      </w:r>
      <w:r>
        <w:t xml:space="preserve"> </w:t>
      </w:r>
      <w:r>
        <w:rPr>
          <w:b/>
          <w:bCs/>
        </w:rPr>
        <w:t xml:space="preserve">compaction</w:t>
      </w:r>
      <w:r>
        <w:t xml:space="preserve"> </w:t>
      </w:r>
      <w:r>
        <w:t xml:space="preserve">step that condenses old turns into</w:t>
      </w:r>
      <w:r>
        <w:t xml:space="preserve"> </w:t>
      </w:r>
      <w:r>
        <w:t xml:space="preserve">summaries.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Index-then-load, not dump.</w:t>
      </w:r>
      <w:r>
        <w:t xml:space="preserve"> </w:t>
      </w:r>
      <w:r>
        <w:t xml:space="preserve">Naïve RAG loads ~35k tokens of which</w:t>
      </w:r>
      <w:r>
        <w:t xml:space="preserve"> </w:t>
      </w:r>
      <w:r>
        <w:t xml:space="preserve">“only ~6%</w:t>
      </w:r>
      <w:r>
        <w:t xml:space="preserve"> </w:t>
      </w:r>
      <w:r>
        <w:t xml:space="preserve">is relevant — the rest pollutes the window and degrades performance.”</w:t>
      </w:r>
      <w:r>
        <w:t xml:space="preserve"> </w:t>
      </w:r>
      <w:r>
        <w:t xml:space="preserve">Instead,</w:t>
      </w:r>
      <w:r>
        <w:t xml:space="preserve"> </w:t>
      </w:r>
      <w:r>
        <w:t xml:space="preserve">show the agent a</w:t>
      </w:r>
      <w:r>
        <w:t xml:space="preserve"> </w:t>
      </w:r>
      <w:r>
        <w:rPr>
          <w:b/>
          <w:bCs/>
        </w:rPr>
        <w:t xml:space="preserve">compact index</w:t>
      </w:r>
      <w:r>
        <w:t xml:space="preserve"> </w:t>
      </w:r>
      <w:r>
        <w:t xml:space="preserve">(model names, inputs, token cost) and let it</w:t>
      </w:r>
      <w:r>
        <w:t xml:space="preserve"> </w:t>
      </w:r>
      <w:r>
        <w:rPr>
          <w:b/>
          <w:bCs/>
        </w:rPr>
        <w:t xml:space="preserve">load on demand</w:t>
      </w:r>
      <w:r>
        <w:t xml:space="preserve">. Every token in the window must have a reason to be there.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Retrieval modes matched to the store:</w:t>
      </w:r>
      <w:r>
        <w:t xml:space="preserve"> </w:t>
      </w:r>
      <w:r>
        <w:t xml:space="preserve">classical RAG for the</w:t>
      </w:r>
      <w:r>
        <w:t xml:space="preserve"> </w:t>
      </w:r>
      <w:r>
        <w:rPr>
          <w:i/>
          <w:iCs/>
        </w:rPr>
        <w:t xml:space="preserve">literature</w:t>
      </w:r>
      <w:r>
        <w:t xml:space="preserve"> </w:t>
      </w:r>
      <w:r>
        <w:t xml:space="preserve">(ArXiv model curation),</w:t>
      </w:r>
      <w:r>
        <w:t xml:space="preserve"> </w:t>
      </w:r>
      <w:r>
        <w:rPr>
          <w:b/>
          <w:bCs/>
        </w:rPr>
        <w:t xml:space="preserve">structured queries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catalog and data</w:t>
      </w:r>
      <w:r>
        <w:t xml:space="preserve"> </w:t>
      </w:r>
      <w:r>
        <w:t xml:space="preserve">(Cypher against Neo4j, SQL against the model store), file reads, and</w:t>
      </w:r>
      <w:r>
        <w:t xml:space="preserve"> </w:t>
      </w:r>
      <w:r>
        <w:rPr>
          <w:b/>
          <w:bCs/>
        </w:rPr>
        <w:t xml:space="preserve">just-in-time</w:t>
      </w:r>
      <w:r>
        <w:t xml:space="preserve"> </w:t>
      </w:r>
      <w:r>
        <w:t xml:space="preserve">retrieval by identifier.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Knowledge-graph memory — a direct fit.</w:t>
      </w:r>
      <w:r>
        <w:t xml:space="preserve"> </w:t>
      </w:r>
      <w:r>
        <w:t xml:space="preserve">State-of-the-art memory systems</w:t>
      </w:r>
      <w:r>
        <w:t xml:space="preserve"> </w:t>
      </w:r>
      <w:r>
        <w:t xml:space="preserve">(A-MEM’s Zettelkasten of linked notes;</w:t>
      </w:r>
      <w:r>
        <w:t xml:space="preserve"> </w:t>
      </w:r>
      <w:r>
        <w:rPr>
          <w:b/>
          <w:bCs/>
        </w:rPr>
        <w:t xml:space="preserve">Zep/Graphiti’s temporal knowledge</w:t>
      </w:r>
      <w:r>
        <w:rPr>
          <w:b/>
          <w:bCs/>
        </w:rP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where nodes are entities and edges carry timestamps) are</w:t>
      </w:r>
      <w:r>
        <w:t xml:space="preserve"> </w:t>
      </w:r>
      <w:r>
        <w:rPr>
          <w:i/>
          <w:iCs/>
        </w:rPr>
        <w:t xml:space="preserve">exactly the</w:t>
      </w:r>
      <w:r>
        <w:rPr>
          <w:i/>
          <w:iCs/>
        </w:rPr>
        <w:t xml:space="preserve"> </w:t>
      </w:r>
      <w:r>
        <w:rPr>
          <w:i/>
          <w:iCs/>
        </w:rPr>
        <w:t xml:space="preserve">shape of the model spine we must build anyway</w:t>
      </w:r>
      <w:r>
        <w:t xml:space="preserve"> </w:t>
      </w:r>
      <w:r>
        <w:t xml:space="preserve">(§06). Lucidate already runs</w:t>
      </w:r>
      <w:r>
        <w:t xml:space="preserve"> </w:t>
      </w:r>
      <w:r>
        <w:t xml:space="preserve">Neo4j — the model catalog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agent’s long-term structured memory. This</w:t>
      </w:r>
      <w:r>
        <w:t xml:space="preserve"> </w:t>
      </w:r>
      <w:r>
        <w:t xml:space="preserve">is a strategic alignment: the graph that stores the models is also the retrieval</w:t>
      </w:r>
      <w:r>
        <w:t xml:space="preserve"> </w:t>
      </w:r>
      <w:r>
        <w:t xml:space="preserve">substrate that keeps the agents grounded.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“Bad retrieval is one of the largest sources of hallucinated answers”</w:t>
      </w:r>
      <w:r>
        <w:t xml:space="preserve"> </w:t>
      </w:r>
      <w:r>
        <w:t xml:space="preserve">— so</w:t>
      </w:r>
      <w:r>
        <w:t xml:space="preserve"> </w:t>
      </w:r>
      <w:r>
        <w:t xml:space="preserve">retrieval quality (the right model spec, the right series, the right derivative</w:t>
      </w:r>
      <w:r>
        <w:t xml:space="preserve"> </w:t>
      </w:r>
      <w:r>
        <w:t xml:space="preserve">order) is a first-class reliability concern, not plumbing.</w:t>
      </w:r>
    </w:p>
    <w:p>
      <w:pPr>
        <w:pStyle w:val="CaptionedFigure"/>
      </w:pPr>
      <w:r>
        <w:drawing>
          <wp:inline>
            <wp:extent cx="5334000" cy="4368000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./12-agentic-architecture-and-prompting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8"/>
    <w:bookmarkStart w:id="19" w:name="Xf613ff26bbbd71b073c466d4e39deb98caebce8"/>
    <w:p>
      <w:pPr>
        <w:pStyle w:val="Heading2"/>
      </w:pPr>
      <w:r>
        <w:t xml:space="preserve">5. Prompting discipline (model-grounded narration)</w:t>
      </w:r>
    </w:p>
    <w:p>
      <w:pPr>
        <w:pStyle w:val="FirstParagraph"/>
      </w:pPr>
      <w:r>
        <w:t xml:space="preserve">The narrator’s system prompt, following the AI-Economist-Agent’s proven</w:t>
      </w:r>
      <w:r>
        <w:t xml:space="preserve"> </w:t>
      </w:r>
      <w:r>
        <w:t xml:space="preserve">conditioning:</w:t>
      </w:r>
    </w:p>
    <w:p>
      <w:pPr>
        <w:pStyle w:val="Compact"/>
        <w:numPr>
          <w:ilvl w:val="0"/>
          <w:numId w:val="1003"/>
        </w:numPr>
      </w:pPr>
      <w:r>
        <w:t xml:space="preserve">Supply: the selected</w:t>
      </w:r>
      <w:r>
        <w:t xml:space="preserve"> </w:t>
      </w:r>
      <w:r>
        <w:rPr>
          <w:rStyle w:val="VerbatimChar"/>
        </w:rPr>
        <w:t xml:space="preserve">ModelSpecification</w:t>
      </w:r>
      <w:r>
        <w:t xml:space="preserve"> </w:t>
      </w:r>
      <w:r>
        <w:t xml:space="preserve">(form,</w:t>
      </w:r>
      <w:r>
        <w:t xml:space="preserve"> </w:t>
      </w:r>
      <w:r>
        <w:rPr>
          <w:rStyle w:val="VerbatimChar"/>
        </w:rPr>
        <w:t xml:space="preserve">asserts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id, and the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3"/>
        </w:numPr>
      </w:pPr>
      <w:r>
        <w:t xml:space="preserve">Instruct:</w:t>
      </w:r>
      <w:r>
        <w:t xml:space="preserve"> </w:t>
      </w:r>
      <w:r>
        <w:rPr>
          <w:i/>
          <w:iCs/>
        </w:rPr>
        <w:t xml:space="preserve">“Link every quantitative claim to a model output. Distinguish the</w:t>
      </w:r>
      <w:r>
        <w:rPr>
          <w:i/>
          <w:iCs/>
        </w:rPr>
        <w:t xml:space="preserve"> </w:t>
      </w:r>
      <w:r>
        <w:rPr>
          <w:i/>
          <w:iCs/>
        </w:rPr>
        <w:t xml:space="preserve">model’s economic interpretation from its computed numbers. Do not state that a</w:t>
      </w:r>
      <w:r>
        <w:rPr>
          <w:i/>
          <w:iCs/>
        </w:rPr>
        <w:t xml:space="preserve"> </w:t>
      </w:r>
      <w:r>
        <w:rPr>
          <w:i/>
          <w:iCs/>
        </w:rPr>
        <w:t xml:space="preserve">model was run unless a run id is provided. Where a model consumes a rate of</w:t>
      </w:r>
      <w:r>
        <w:rPr>
          <w:i/>
          <w:iCs/>
        </w:rPr>
        <w:t xml:space="preserve"> </w:t>
      </w:r>
      <w:r>
        <w:rPr>
          <w:i/>
          <w:iCs/>
        </w:rPr>
        <w:t xml:space="preserve">change or acceleration, describe direction and speed, not level alone.”</w:t>
      </w:r>
    </w:p>
    <w:p>
      <w:pPr>
        <w:pStyle w:val="Compact"/>
        <w:numPr>
          <w:ilvl w:val="0"/>
          <w:numId w:val="1003"/>
        </w:numPr>
      </w:pPr>
      <w:r>
        <w:t xml:space="preserve">Forbid: authoring any figure; recomputing arithmetic; describing a chart feature</w:t>
      </w:r>
      <w:r>
        <w:t xml:space="preserve"> </w:t>
      </w:r>
      <w:r>
        <w:t xml:space="preserve">not present.</w:t>
      </w:r>
    </w:p>
    <w:p>
      <w:pPr>
        <w:pStyle w:val="FirstParagraph"/>
      </w:pPr>
      <w:r>
        <w:t xml:space="preserve">Their controlled result is the target: moving the output</w:t>
      </w:r>
      <w:r>
        <w:t xml:space="preserve"> </w:t>
      </w:r>
      <w:r>
        <w:rPr>
          <w:i/>
          <w:iCs/>
        </w:rPr>
        <w:t xml:space="preserve">“from a fluent</w:t>
      </w:r>
      <w:r>
        <w:rPr>
          <w:i/>
          <w:iCs/>
        </w:rPr>
        <w:t xml:space="preserve"> </w:t>
      </w:r>
      <w:r>
        <w:rPr>
          <w:i/>
          <w:iCs/>
        </w:rPr>
        <w:t xml:space="preserve">narrative to a traceable economic analysis.”</w:t>
      </w:r>
      <w:r>
        <w:t xml:space="preserve"> </w:t>
      </w:r>
      <w:r>
        <w:t xml:space="preserve">That single sentence is the</w:t>
      </w:r>
      <w:r>
        <w:t xml:space="preserve"> </w:t>
      </w:r>
      <w:r>
        <w:t xml:space="preserve">difference between Horizon2’s prose and the product.</w:t>
      </w:r>
    </w:p>
    <w:bookmarkEnd w:id="19"/>
    <w:bookmarkStart w:id="26" w:name="X8b7507ebf49b20e19f0759e076da8e7e27cbaec"/>
    <w:p>
      <w:pPr>
        <w:pStyle w:val="Heading2"/>
      </w:pPr>
      <w:r>
        <w:t xml:space="preserve">6. What this review adds to the recommendation</w:t>
      </w:r>
    </w:p>
    <w:p>
      <w:pPr>
        <w:pStyle w:val="Compact"/>
        <w:numPr>
          <w:ilvl w:val="0"/>
          <w:numId w:val="1004"/>
        </w:numPr>
      </w:pPr>
      <w:r>
        <w:t xml:space="preserve">The target architecture (§06) is not hand-waving: it is the mainstream 2026</w:t>
      </w:r>
      <w:r>
        <w:t xml:space="preserve"> </w:t>
      </w:r>
      <w:r>
        <w:t xml:space="preserve">agentic pattern set (Planning + Routing + Tool-Use + Prompt-Chaining +</w:t>
      </w:r>
      <w:r>
        <w:t xml:space="preserve"> </w:t>
      </w:r>
      <w:r>
        <w:t xml:space="preserve">Evaluator-Optimizer + Reflection) specialised to number-grounding.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engineering is where reliability is won or lost</w:t>
      </w:r>
      <w:r>
        <w:t xml:space="preserve">, and Lucidate’s</w:t>
      </w:r>
      <w:r>
        <w:t xml:space="preserve"> </w:t>
      </w:r>
      <w:r>
        <w:t xml:space="preserve">existing Neo4j is a genuine head-start — the model spine doubles as the agents’</w:t>
      </w:r>
      <w:r>
        <w:t xml:space="preserve"> </w:t>
      </w:r>
      <w:r>
        <w:t xml:space="preserve">structured long-term memory.</w:t>
      </w:r>
    </w:p>
    <w:p>
      <w:pPr>
        <w:pStyle w:val="Compact"/>
        <w:numPr>
          <w:ilvl w:val="0"/>
          <w:numId w:val="1004"/>
        </w:numPr>
      </w:pPr>
      <w:r>
        <w:t xml:space="preserve">None of this can be prompted into existence until the</w:t>
      </w:r>
      <w:r>
        <w:t xml:space="preserve"> </w:t>
      </w:r>
      <w:r>
        <w:rPr>
          <w:b/>
          <w:bCs/>
        </w:rPr>
        <w:t xml:space="preserve">model catalog (§11) and</w:t>
      </w:r>
      <w:r>
        <w:rPr>
          <w:b/>
          <w:bCs/>
        </w:rPr>
        <w:t xml:space="preserve"> </w:t>
      </w:r>
      <w:r>
        <w:rPr>
          <w:b/>
          <w:bCs/>
        </w:rPr>
        <w:t xml:space="preserve">the derivative-aware inputs (§10) exist in the data layers.</w:t>
      </w:r>
      <w:r>
        <w:t xml:space="preserve"> </w:t>
      </w:r>
      <w:r>
        <w:t xml:space="preserve">This is the final</w:t>
      </w:r>
      <w:r>
        <w:t xml:space="preserve"> </w:t>
      </w:r>
      <w:r>
        <w:t xml:space="preserve">confirmation of the sequencing (§09):</w:t>
      </w:r>
      <w:r>
        <w:t xml:space="preserve"> </w:t>
      </w:r>
      <w:r>
        <w:rPr>
          <w:i/>
          <w:iCs/>
        </w:rPr>
        <w:t xml:space="preserve">data layers first, agents second</w:t>
      </w:r>
      <w:r>
        <w:t xml:space="preserve"> </w:t>
      </w:r>
      <w:r>
        <w:t xml:space="preserve">— the</w:t>
      </w:r>
      <w:r>
        <w:t xml:space="preserve"> </w:t>
      </w:r>
      <w:r>
        <w:t xml:space="preserve">agents are only as grounded as the catalog and data they retrieve from.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hyperlink r:id="rId20">
        <w:r>
          <w:rPr>
            <w:rStyle w:val="Hyperlink"/>
          </w:rPr>
          <w:t xml:space="preserve">Agentic design patterns 2026 (SitePoint)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HF: design patterns for agentic workflows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Context engineering (Sourcegraph)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Context engineering &amp; memory (Weaviate)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AI Economist Agent, arXiv 2606.20041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Infogen, arXiv 2507.20046</w:t>
        </w:r>
      </w:hyperlink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hyperlink" Id="rId24" Target="https://arxiv.org/abs/2606.20041" TargetMode="External" /><Relationship Type="http://schemas.openxmlformats.org/officeDocument/2006/relationships/hyperlink" Id="rId25" Target="https://arxiv.org/html/2507.20046v1" TargetMode="External" /><Relationship Type="http://schemas.openxmlformats.org/officeDocument/2006/relationships/hyperlink" Id="rId21" Target="https://huggingface.co/blog/dcarpintero/design-patterns-for-building-agentic-workflows" TargetMode="External" /><Relationship Type="http://schemas.openxmlformats.org/officeDocument/2006/relationships/hyperlink" Id="rId22" Target="https://sourcegraph.com/blog/context-engineering" TargetMode="External" /><Relationship Type="http://schemas.openxmlformats.org/officeDocument/2006/relationships/hyperlink" Id="rId23" Target="https://weaviate.io/blog/context-engineering" TargetMode="External" /><Relationship Type="http://schemas.openxmlformats.org/officeDocument/2006/relationships/hyperlink" Id="rId20" Target="https://www.sitepoint.com/the-definitive-guide-to-agentic-design-patterns-in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rxiv.org/abs/2606.20041" TargetMode="External" /><Relationship Type="http://schemas.openxmlformats.org/officeDocument/2006/relationships/hyperlink" Id="rId25" Target="https://arxiv.org/html/2507.20046v1" TargetMode="External" /><Relationship Type="http://schemas.openxmlformats.org/officeDocument/2006/relationships/hyperlink" Id="rId21" Target="https://huggingface.co/blog/dcarpintero/design-patterns-for-building-agentic-workflows" TargetMode="External" /><Relationship Type="http://schemas.openxmlformats.org/officeDocument/2006/relationships/hyperlink" Id="rId22" Target="https://sourcegraph.com/blog/context-engineering" TargetMode="External" /><Relationship Type="http://schemas.openxmlformats.org/officeDocument/2006/relationships/hyperlink" Id="rId23" Target="https://weaviate.io/blog/context-engineering" TargetMode="External" /><Relationship Type="http://schemas.openxmlformats.org/officeDocument/2006/relationships/hyperlink" Id="rId20" Target="https://www.sitepoint.com/the-definitive-guide-to-agentic-design-patterns-in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2026-07-10T10:58:57Z</dcterms:created>
  <dcterms:modified xsi:type="dcterms:W3CDTF">2026-07-10T10:58:57Z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