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A1A80" w:rsidRDefault="007A1A80">
      <w:pPr>
        <w:widowControl w:val="0"/>
        <w:pBdr>
          <w:top w:val="nil"/>
          <w:left w:val="nil"/>
          <w:bottom w:val="nil"/>
          <w:right w:val="nil"/>
          <w:between w:val="nil"/>
        </w:pBdr>
        <w:spacing w:after="0"/>
        <w:ind w:left="0" w:hanging="2"/>
        <w:rPr>
          <w:rFonts w:ascii="Arial" w:eastAsia="Arial" w:hAnsi="Arial" w:cs="Arial"/>
          <w:color w:val="000000"/>
        </w:rPr>
      </w:pPr>
    </w:p>
    <w:tbl>
      <w:tblPr>
        <w:tblStyle w:val="a"/>
        <w:tblW w:w="11077" w:type="dxa"/>
        <w:tblInd w:w="-576" w:type="dxa"/>
        <w:tblLayout w:type="fixed"/>
        <w:tblLook w:val="0000" w:firstRow="0" w:lastRow="0" w:firstColumn="0" w:lastColumn="0" w:noHBand="0" w:noVBand="0"/>
      </w:tblPr>
      <w:tblGrid>
        <w:gridCol w:w="11077"/>
      </w:tblGrid>
      <w:tr w:rsidR="007A1A80" w14:paraId="1DCFED38" w14:textId="77777777">
        <w:trPr>
          <w:trHeight w:val="966"/>
        </w:trPr>
        <w:tc>
          <w:tcPr>
            <w:tcW w:w="11077" w:type="dxa"/>
            <w:shd w:val="clear" w:color="auto" w:fill="1F3864"/>
            <w:vAlign w:val="center"/>
          </w:tcPr>
          <w:p w14:paraId="3D327CD9" w14:textId="77777777" w:rsidR="007A1A80" w:rsidRDefault="00A36B80">
            <w:pPr>
              <w:pBdr>
                <w:top w:val="nil"/>
                <w:left w:val="nil"/>
                <w:bottom w:val="nil"/>
                <w:right w:val="nil"/>
                <w:between w:val="nil"/>
              </w:pBdr>
              <w:spacing w:before="120" w:after="0" w:line="240" w:lineRule="auto"/>
              <w:ind w:left="0" w:hanging="2"/>
              <w:jc w:val="both"/>
              <w:rPr>
                <w:color w:val="FFFFFF"/>
              </w:rPr>
            </w:pPr>
            <w:r>
              <w:rPr>
                <w:noProof/>
                <w:color w:val="000000"/>
                <w:lang w:eastAsia="pt-BR"/>
              </w:rPr>
              <w:drawing>
                <wp:inline distT="0" distB="0" distL="114300" distR="114300" wp14:anchorId="0A53AA77" wp14:editId="07777777">
                  <wp:extent cx="1151890" cy="295275"/>
                  <wp:effectExtent l="0" t="0" r="0" b="0"/>
                  <wp:docPr id="1026" name="image1.png" descr="Descrição: Métodos Intensivos"/>
                  <wp:cNvGraphicFramePr/>
                  <a:graphic xmlns:a="http://schemas.openxmlformats.org/drawingml/2006/main">
                    <a:graphicData uri="http://schemas.openxmlformats.org/drawingml/2006/picture">
                      <pic:pic xmlns:pic="http://schemas.openxmlformats.org/drawingml/2006/picture">
                        <pic:nvPicPr>
                          <pic:cNvPr id="0" name="image1.png" descr="Descrição: Métodos Intensivos"/>
                          <pic:cNvPicPr preferRelativeResize="0"/>
                        </pic:nvPicPr>
                        <pic:blipFill>
                          <a:blip r:embed="rId8"/>
                          <a:srcRect/>
                          <a:stretch>
                            <a:fillRect/>
                          </a:stretch>
                        </pic:blipFill>
                        <pic:spPr>
                          <a:xfrm>
                            <a:off x="0" y="0"/>
                            <a:ext cx="1151890" cy="295275"/>
                          </a:xfrm>
                          <a:prstGeom prst="rect">
                            <a:avLst/>
                          </a:prstGeom>
                          <a:ln/>
                        </pic:spPr>
                      </pic:pic>
                    </a:graphicData>
                  </a:graphic>
                </wp:inline>
              </w:drawing>
            </w:r>
            <w:r>
              <w:rPr>
                <w:color w:val="FFFFFF"/>
              </w:rPr>
              <w:t xml:space="preserve">                                  </w:t>
            </w:r>
            <w:r>
              <w:rPr>
                <w:color w:val="FFFFFF"/>
                <w:sz w:val="52"/>
                <w:szCs w:val="52"/>
              </w:rPr>
              <w:t xml:space="preserve">MUSICOTERAPIA </w:t>
            </w:r>
          </w:p>
        </w:tc>
      </w:tr>
    </w:tbl>
    <w:p w14:paraId="0A37501D" w14:textId="77777777" w:rsidR="007A1A80" w:rsidRDefault="007A1A80">
      <w:pPr>
        <w:ind w:left="0" w:hanging="2"/>
        <w:rPr>
          <w:color w:val="000000"/>
        </w:rPr>
      </w:pPr>
    </w:p>
    <w:tbl>
      <w:tblPr>
        <w:tblStyle w:val="a0"/>
        <w:tblW w:w="103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06"/>
      </w:tblGrid>
      <w:tr w:rsidR="007A1A80" w14:paraId="6248CBA2" w14:textId="77777777">
        <w:trPr>
          <w:trHeight w:val="231"/>
        </w:trPr>
        <w:tc>
          <w:tcPr>
            <w:tcW w:w="10306" w:type="dxa"/>
            <w:vAlign w:val="center"/>
          </w:tcPr>
          <w:p w14:paraId="7E65EED1" w14:textId="77777777" w:rsidR="007A1A80" w:rsidRDefault="00A36B80">
            <w:pPr>
              <w:spacing w:after="0" w:line="360" w:lineRule="auto"/>
              <w:ind w:left="0" w:hanging="2"/>
              <w:rPr>
                <w:color w:val="000000"/>
              </w:rPr>
            </w:pPr>
            <w:r>
              <w:rPr>
                <w:b/>
                <w:color w:val="000000"/>
              </w:rPr>
              <w:t>IDENTIFICAÇÃO</w:t>
            </w:r>
          </w:p>
        </w:tc>
      </w:tr>
      <w:tr w:rsidR="007A1A80" w14:paraId="546B7993" w14:textId="77777777">
        <w:trPr>
          <w:trHeight w:val="121"/>
        </w:trPr>
        <w:tc>
          <w:tcPr>
            <w:tcW w:w="10306" w:type="dxa"/>
            <w:vAlign w:val="center"/>
          </w:tcPr>
          <w:p w14:paraId="48A10F62" w14:textId="01F6A26D" w:rsidR="007A1A80" w:rsidRDefault="00A36B80">
            <w:pPr>
              <w:spacing w:after="0" w:line="360" w:lineRule="auto"/>
              <w:ind w:left="0" w:hanging="2"/>
              <w:rPr>
                <w:color w:val="000000"/>
              </w:rPr>
            </w:pPr>
            <w:r>
              <w:rPr>
                <w:b/>
                <w:color w:val="000000"/>
              </w:rPr>
              <w:t>Nome do paciente</w:t>
            </w:r>
            <w:r>
              <w:rPr>
                <w:color w:val="000000"/>
              </w:rPr>
              <w:t>:</w:t>
            </w:r>
            <w:r w:rsidR="00B51411">
              <w:rPr>
                <w:color w:val="000000"/>
              </w:rPr>
              <w:t xml:space="preserve"> </w:t>
            </w:r>
            <w:r w:rsidR="00931695">
              <w:rPr>
                <w:color w:val="000000"/>
              </w:rPr>
              <w:t>Antonela Bondezan</w:t>
            </w:r>
          </w:p>
        </w:tc>
      </w:tr>
      <w:tr w:rsidR="007A1A80" w14:paraId="4298C03F" w14:textId="77777777">
        <w:trPr>
          <w:trHeight w:val="121"/>
        </w:trPr>
        <w:tc>
          <w:tcPr>
            <w:tcW w:w="10306" w:type="dxa"/>
            <w:vAlign w:val="center"/>
          </w:tcPr>
          <w:p w14:paraId="07D6AD80" w14:textId="431CD6F9" w:rsidR="007A1A80" w:rsidRDefault="00A36B80">
            <w:pPr>
              <w:spacing w:after="0" w:line="360" w:lineRule="auto"/>
              <w:ind w:left="0" w:hanging="2"/>
              <w:rPr>
                <w:color w:val="000000"/>
              </w:rPr>
            </w:pPr>
            <w:r>
              <w:rPr>
                <w:b/>
                <w:color w:val="000000"/>
              </w:rPr>
              <w:t>Data de nascimento</w:t>
            </w:r>
            <w:r>
              <w:rPr>
                <w:color w:val="000000"/>
              </w:rPr>
              <w:t>:</w:t>
            </w:r>
            <w:r>
              <w:rPr>
                <w:b/>
                <w:color w:val="000000"/>
              </w:rPr>
              <w:t xml:space="preserve">                                                                                    Idade</w:t>
            </w:r>
            <w:r>
              <w:rPr>
                <w:color w:val="000000"/>
              </w:rPr>
              <w:t>:</w:t>
            </w:r>
            <w:r w:rsidR="004354EF">
              <w:rPr>
                <w:color w:val="000000"/>
              </w:rPr>
              <w:t xml:space="preserve"> 0</w:t>
            </w:r>
            <w:r w:rsidR="00931695">
              <w:rPr>
                <w:color w:val="000000"/>
              </w:rPr>
              <w:t>7</w:t>
            </w:r>
          </w:p>
        </w:tc>
      </w:tr>
      <w:tr w:rsidR="007A1A80" w14:paraId="52C5ECC0" w14:textId="77777777">
        <w:trPr>
          <w:trHeight w:val="121"/>
        </w:trPr>
        <w:tc>
          <w:tcPr>
            <w:tcW w:w="10306" w:type="dxa"/>
            <w:vAlign w:val="center"/>
          </w:tcPr>
          <w:p w14:paraId="4E13DF67" w14:textId="77777777" w:rsidR="007A1A80" w:rsidRDefault="00A36B80">
            <w:pPr>
              <w:spacing w:after="0" w:line="360" w:lineRule="auto"/>
              <w:ind w:left="0" w:hanging="2"/>
              <w:rPr>
                <w:color w:val="000000"/>
              </w:rPr>
            </w:pPr>
            <w:r>
              <w:rPr>
                <w:b/>
                <w:color w:val="000000"/>
              </w:rPr>
              <w:t>Escolaridade</w:t>
            </w:r>
            <w:r>
              <w:rPr>
                <w:color w:val="000000"/>
              </w:rPr>
              <w:t>:</w:t>
            </w:r>
          </w:p>
        </w:tc>
      </w:tr>
      <w:tr w:rsidR="007A1A80" w14:paraId="69962462" w14:textId="77777777">
        <w:trPr>
          <w:trHeight w:val="121"/>
        </w:trPr>
        <w:tc>
          <w:tcPr>
            <w:tcW w:w="10306" w:type="dxa"/>
            <w:vAlign w:val="center"/>
          </w:tcPr>
          <w:p w14:paraId="5D0EE1E6" w14:textId="77777777" w:rsidR="007A1A80" w:rsidRDefault="00A36B80">
            <w:pPr>
              <w:spacing w:after="0" w:line="360" w:lineRule="auto"/>
              <w:ind w:left="0" w:hanging="2"/>
              <w:rPr>
                <w:color w:val="000000"/>
              </w:rPr>
            </w:pPr>
            <w:r>
              <w:rPr>
                <w:b/>
                <w:color w:val="000000"/>
              </w:rPr>
              <w:t>Nome dos pais ou responsáveis</w:t>
            </w:r>
            <w:r>
              <w:rPr>
                <w:color w:val="000000"/>
              </w:rPr>
              <w:t>:</w:t>
            </w:r>
          </w:p>
        </w:tc>
      </w:tr>
      <w:tr w:rsidR="007A1A80" w14:paraId="64A3F63A" w14:textId="77777777">
        <w:trPr>
          <w:trHeight w:val="224"/>
        </w:trPr>
        <w:tc>
          <w:tcPr>
            <w:tcW w:w="10306" w:type="dxa"/>
            <w:vAlign w:val="center"/>
          </w:tcPr>
          <w:p w14:paraId="5A48720B" w14:textId="7FCB0482" w:rsidR="007A1A80" w:rsidRDefault="00A36B80">
            <w:pPr>
              <w:spacing w:after="0" w:line="360" w:lineRule="auto"/>
              <w:ind w:left="0" w:hanging="2"/>
              <w:rPr>
                <w:color w:val="000000"/>
              </w:rPr>
            </w:pPr>
            <w:r>
              <w:rPr>
                <w:b/>
                <w:color w:val="000000"/>
              </w:rPr>
              <w:t>Métodos Intensivos - TREINI ou MIG</w:t>
            </w:r>
            <w:r>
              <w:rPr>
                <w:color w:val="000000"/>
              </w:rPr>
              <w:t>:</w:t>
            </w:r>
            <w:r w:rsidR="00B51411">
              <w:rPr>
                <w:color w:val="000000"/>
              </w:rPr>
              <w:t xml:space="preserve"> MIG</w:t>
            </w:r>
          </w:p>
        </w:tc>
      </w:tr>
      <w:tr w:rsidR="007A1A80" w14:paraId="104603DD" w14:textId="77777777">
        <w:trPr>
          <w:trHeight w:val="81"/>
        </w:trPr>
        <w:tc>
          <w:tcPr>
            <w:tcW w:w="10306" w:type="dxa"/>
            <w:vAlign w:val="center"/>
          </w:tcPr>
          <w:p w14:paraId="24F9BBDE" w14:textId="0EC046A6" w:rsidR="007A1A80" w:rsidRDefault="00A36B80">
            <w:pPr>
              <w:spacing w:after="0" w:line="360" w:lineRule="auto"/>
              <w:ind w:left="0" w:hanging="2"/>
              <w:rPr>
                <w:color w:val="000000"/>
              </w:rPr>
            </w:pPr>
            <w:r>
              <w:rPr>
                <w:b/>
                <w:color w:val="000000"/>
              </w:rPr>
              <w:t>Diagnóstico</w:t>
            </w:r>
            <w:r>
              <w:rPr>
                <w:color w:val="000000"/>
              </w:rPr>
              <w:t>:</w:t>
            </w:r>
            <w:r w:rsidR="00B51411">
              <w:rPr>
                <w:color w:val="000000"/>
              </w:rPr>
              <w:t xml:space="preserve"> </w:t>
            </w:r>
            <w:r w:rsidR="00931695">
              <w:rPr>
                <w:color w:val="000000"/>
              </w:rPr>
              <w:t>PC</w:t>
            </w:r>
          </w:p>
        </w:tc>
      </w:tr>
      <w:tr w:rsidR="007A1A80" w14:paraId="69307996" w14:textId="77777777">
        <w:trPr>
          <w:trHeight w:val="81"/>
        </w:trPr>
        <w:tc>
          <w:tcPr>
            <w:tcW w:w="10306" w:type="dxa"/>
            <w:vAlign w:val="center"/>
          </w:tcPr>
          <w:p w14:paraId="32636E41" w14:textId="2F190E60" w:rsidR="007A1A80" w:rsidRDefault="00A36B80">
            <w:pPr>
              <w:spacing w:after="0" w:line="360" w:lineRule="auto"/>
              <w:ind w:left="0" w:hanging="2"/>
              <w:rPr>
                <w:color w:val="000000"/>
              </w:rPr>
            </w:pPr>
            <w:r>
              <w:rPr>
                <w:b/>
                <w:color w:val="000000"/>
              </w:rPr>
              <w:t>Data de início da intervenção</w:t>
            </w:r>
            <w:r>
              <w:rPr>
                <w:color w:val="000000"/>
              </w:rPr>
              <w:t>:</w:t>
            </w:r>
            <w:r w:rsidR="00B51411">
              <w:rPr>
                <w:color w:val="000000"/>
              </w:rPr>
              <w:t xml:space="preserve"> 0</w:t>
            </w:r>
            <w:r w:rsidR="00931695">
              <w:rPr>
                <w:color w:val="000000"/>
              </w:rPr>
              <w:t>1</w:t>
            </w:r>
            <w:r w:rsidR="00B51411">
              <w:rPr>
                <w:color w:val="000000"/>
              </w:rPr>
              <w:t>/202</w:t>
            </w:r>
            <w:r w:rsidR="00931695">
              <w:rPr>
                <w:color w:val="000000"/>
              </w:rPr>
              <w:t>4</w:t>
            </w:r>
          </w:p>
        </w:tc>
      </w:tr>
      <w:tr w:rsidR="007A1A80" w14:paraId="44190C45" w14:textId="77777777">
        <w:trPr>
          <w:trHeight w:val="236"/>
        </w:trPr>
        <w:tc>
          <w:tcPr>
            <w:tcW w:w="10306" w:type="dxa"/>
            <w:vAlign w:val="center"/>
          </w:tcPr>
          <w:p w14:paraId="3928B19A" w14:textId="13EF0351" w:rsidR="007A1A80" w:rsidRDefault="00A36B80">
            <w:pPr>
              <w:spacing w:after="0" w:line="360" w:lineRule="auto"/>
              <w:ind w:left="0" w:hanging="2"/>
              <w:rPr>
                <w:color w:val="000000"/>
              </w:rPr>
            </w:pPr>
            <w:r>
              <w:rPr>
                <w:b/>
                <w:color w:val="000000"/>
              </w:rPr>
              <w:t>Data atual</w:t>
            </w:r>
            <w:r>
              <w:rPr>
                <w:color w:val="000000"/>
              </w:rPr>
              <w:t>:</w:t>
            </w:r>
            <w:r w:rsidR="00B51411">
              <w:rPr>
                <w:color w:val="000000"/>
              </w:rPr>
              <w:t xml:space="preserve"> 06/2025</w:t>
            </w:r>
          </w:p>
        </w:tc>
      </w:tr>
      <w:tr w:rsidR="007A1A80" w14:paraId="4077C6E3" w14:textId="77777777">
        <w:trPr>
          <w:trHeight w:val="109"/>
        </w:trPr>
        <w:tc>
          <w:tcPr>
            <w:tcW w:w="10306" w:type="dxa"/>
            <w:vAlign w:val="center"/>
          </w:tcPr>
          <w:p w14:paraId="2EFF9810" w14:textId="61C62882" w:rsidR="007A1A80" w:rsidRDefault="00A36B80">
            <w:pPr>
              <w:spacing w:after="0" w:line="360" w:lineRule="auto"/>
              <w:ind w:left="0" w:hanging="2"/>
              <w:rPr>
                <w:color w:val="000000"/>
              </w:rPr>
            </w:pPr>
            <w:r>
              <w:rPr>
                <w:b/>
                <w:color w:val="000000"/>
              </w:rPr>
              <w:t>Nome do profissional</w:t>
            </w:r>
            <w:r>
              <w:rPr>
                <w:color w:val="000000"/>
              </w:rPr>
              <w:t>:</w:t>
            </w:r>
            <w:r w:rsidR="00B51411">
              <w:rPr>
                <w:color w:val="000000"/>
              </w:rPr>
              <w:t xml:space="preserve"> Matheus Rocha Silva</w:t>
            </w:r>
          </w:p>
        </w:tc>
      </w:tr>
    </w:tbl>
    <w:p w14:paraId="5DAB6C7B" w14:textId="77777777" w:rsidR="007A1A80" w:rsidRDefault="007A1A80">
      <w:pPr>
        <w:ind w:left="0" w:hanging="2"/>
        <w:rPr>
          <w:color w:val="000000"/>
        </w:rPr>
      </w:pPr>
    </w:p>
    <w:tbl>
      <w:tblPr>
        <w:tblW w:w="10620" w:type="dxa"/>
        <w:jc w:val="center"/>
        <w:tblLayout w:type="fixed"/>
        <w:tblLook w:val="0000" w:firstRow="0" w:lastRow="0" w:firstColumn="0" w:lastColumn="0" w:noHBand="0" w:noVBand="0"/>
      </w:tblPr>
      <w:tblGrid>
        <w:gridCol w:w="10620"/>
      </w:tblGrid>
      <w:tr w:rsidR="007A1A80" w14:paraId="340DC777" w14:textId="77777777" w:rsidTr="1F85A3C0">
        <w:trPr>
          <w:jc w:val="center"/>
        </w:trPr>
        <w:tc>
          <w:tcPr>
            <w:tcW w:w="10620" w:type="dxa"/>
            <w:shd w:val="clear" w:color="auto" w:fill="1F3864"/>
            <w:vAlign w:val="center"/>
          </w:tcPr>
          <w:p w14:paraId="7D49B07D" w14:textId="77777777" w:rsidR="007A1A80" w:rsidRDefault="00A36B80">
            <w:pPr>
              <w:pBdr>
                <w:top w:val="nil"/>
                <w:left w:val="nil"/>
                <w:bottom w:val="nil"/>
                <w:right w:val="nil"/>
                <w:between w:val="nil"/>
              </w:pBdr>
              <w:spacing w:before="120" w:after="0" w:line="240" w:lineRule="auto"/>
              <w:ind w:left="3" w:hanging="5"/>
              <w:jc w:val="both"/>
              <w:rPr>
                <w:color w:val="FFFFFF"/>
                <w:sz w:val="52"/>
                <w:szCs w:val="52"/>
              </w:rPr>
            </w:pPr>
            <w:r>
              <w:rPr>
                <w:color w:val="FFFFFF"/>
                <w:sz w:val="52"/>
                <w:szCs w:val="52"/>
              </w:rPr>
              <w:t>HISTÓRIA CLÍNICA</w:t>
            </w:r>
          </w:p>
        </w:tc>
      </w:tr>
    </w:tbl>
    <w:p w14:paraId="6E053471" w14:textId="77777777" w:rsidR="00931695" w:rsidRPr="00931695" w:rsidRDefault="00931695" w:rsidP="00931695">
      <w:pPr>
        <w:spacing w:after="0" w:line="360" w:lineRule="auto"/>
        <w:ind w:left="0" w:hanging="2"/>
        <w:jc w:val="both"/>
        <w:rPr>
          <w:rFonts w:ascii="Arial" w:eastAsia="Arial" w:hAnsi="Arial" w:cs="Arial"/>
          <w:color w:val="000000" w:themeColor="text1"/>
          <w:sz w:val="24"/>
          <w:szCs w:val="24"/>
        </w:rPr>
      </w:pPr>
      <w:r w:rsidRPr="00931695">
        <w:rPr>
          <w:rFonts w:ascii="Arial" w:eastAsia="Arial" w:hAnsi="Arial" w:cs="Arial"/>
          <w:i/>
          <w:iCs/>
          <w:color w:val="000000" w:themeColor="text1"/>
          <w:sz w:val="24"/>
          <w:szCs w:val="24"/>
        </w:rPr>
        <w:t xml:space="preserve">Antonela, 07 anos, possui o diagnóstico de paralisia cerebral. Está em processo de intervenção terapêutica para adquirir vivências, </w:t>
      </w:r>
      <w:proofErr w:type="gramStart"/>
      <w:r w:rsidRPr="00931695">
        <w:rPr>
          <w:rFonts w:ascii="Arial" w:eastAsia="Arial" w:hAnsi="Arial" w:cs="Arial"/>
          <w:i/>
          <w:iCs/>
          <w:color w:val="000000" w:themeColor="text1"/>
          <w:sz w:val="24"/>
          <w:szCs w:val="24"/>
        </w:rPr>
        <w:t>bem estar</w:t>
      </w:r>
      <w:proofErr w:type="gramEnd"/>
      <w:r w:rsidRPr="00931695">
        <w:rPr>
          <w:rFonts w:ascii="Arial" w:eastAsia="Arial" w:hAnsi="Arial" w:cs="Arial"/>
          <w:i/>
          <w:iCs/>
          <w:color w:val="000000" w:themeColor="text1"/>
          <w:sz w:val="24"/>
          <w:szCs w:val="24"/>
        </w:rPr>
        <w:t xml:space="preserve"> e qualidade de vida, faz parte do método </w:t>
      </w:r>
      <w:proofErr w:type="spellStart"/>
      <w:r w:rsidRPr="00931695">
        <w:rPr>
          <w:rFonts w:ascii="Arial" w:eastAsia="Arial" w:hAnsi="Arial" w:cs="Arial"/>
          <w:i/>
          <w:iCs/>
          <w:color w:val="000000" w:themeColor="text1"/>
          <w:sz w:val="24"/>
          <w:szCs w:val="24"/>
        </w:rPr>
        <w:t>treini</w:t>
      </w:r>
      <w:proofErr w:type="spellEnd"/>
      <w:r w:rsidRPr="00931695">
        <w:rPr>
          <w:rFonts w:ascii="Arial" w:eastAsia="Arial" w:hAnsi="Arial" w:cs="Arial"/>
          <w:i/>
          <w:iCs/>
          <w:color w:val="000000" w:themeColor="text1"/>
          <w:sz w:val="24"/>
          <w:szCs w:val="24"/>
        </w:rPr>
        <w:t xml:space="preserve"> de intervenção.</w:t>
      </w:r>
    </w:p>
    <w:p w14:paraId="49D461EB" w14:textId="09E004D8" w:rsidR="007A1A80" w:rsidRDefault="1F85A3C0" w:rsidP="1F85A3C0">
      <w:pPr>
        <w:spacing w:after="0" w:line="360" w:lineRule="auto"/>
        <w:ind w:left="0" w:hanging="2"/>
        <w:jc w:val="both"/>
        <w:rPr>
          <w:rFonts w:ascii="Arial" w:eastAsia="Arial" w:hAnsi="Arial" w:cs="Arial"/>
          <w:i/>
          <w:iCs/>
          <w:color w:val="000000" w:themeColor="text1"/>
          <w:sz w:val="24"/>
          <w:szCs w:val="24"/>
        </w:rPr>
      </w:pPr>
      <w:r w:rsidRPr="001145DB">
        <w:rPr>
          <w:rFonts w:ascii="Arial" w:eastAsia="Arial" w:hAnsi="Arial" w:cs="Arial"/>
          <w:color w:val="000000" w:themeColor="text1"/>
          <w:sz w:val="24"/>
          <w:szCs w:val="24"/>
        </w:rPr>
        <w:t xml:space="preserve">Faz acompanhamento </w:t>
      </w:r>
      <w:proofErr w:type="spellStart"/>
      <w:r w:rsidRPr="001145DB">
        <w:rPr>
          <w:rFonts w:ascii="Arial" w:eastAsia="Arial" w:hAnsi="Arial" w:cs="Arial"/>
          <w:color w:val="000000" w:themeColor="text1"/>
          <w:sz w:val="24"/>
          <w:szCs w:val="24"/>
        </w:rPr>
        <w:t>musicoterapêutico</w:t>
      </w:r>
      <w:proofErr w:type="spellEnd"/>
      <w:r w:rsidRPr="001145DB">
        <w:rPr>
          <w:rFonts w:ascii="Arial" w:eastAsia="Arial" w:hAnsi="Arial" w:cs="Arial"/>
          <w:color w:val="000000" w:themeColor="text1"/>
          <w:sz w:val="24"/>
          <w:szCs w:val="24"/>
        </w:rPr>
        <w:t xml:space="preserve"> desde</w:t>
      </w:r>
      <w:r w:rsidRPr="001145DB">
        <w:rPr>
          <w:rFonts w:ascii="Arial" w:eastAsia="Arial" w:hAnsi="Arial" w:cs="Arial"/>
          <w:i/>
          <w:iCs/>
          <w:color w:val="000000" w:themeColor="text1"/>
          <w:sz w:val="24"/>
          <w:szCs w:val="24"/>
        </w:rPr>
        <w:t xml:space="preserve"> </w:t>
      </w:r>
      <w:proofErr w:type="gramStart"/>
      <w:r w:rsidR="00A50DDC" w:rsidRPr="001145DB">
        <w:rPr>
          <w:rFonts w:ascii="Arial" w:eastAsia="Arial" w:hAnsi="Arial" w:cs="Arial"/>
          <w:i/>
          <w:iCs/>
          <w:color w:val="000000" w:themeColor="text1"/>
          <w:sz w:val="24"/>
          <w:szCs w:val="24"/>
        </w:rPr>
        <w:t>J</w:t>
      </w:r>
      <w:r w:rsidR="00931695">
        <w:rPr>
          <w:rFonts w:ascii="Arial" w:eastAsia="Arial" w:hAnsi="Arial" w:cs="Arial"/>
          <w:i/>
          <w:iCs/>
          <w:color w:val="000000" w:themeColor="text1"/>
          <w:sz w:val="24"/>
          <w:szCs w:val="24"/>
        </w:rPr>
        <w:t>aneiro</w:t>
      </w:r>
      <w:proofErr w:type="gramEnd"/>
      <w:r w:rsidR="00A50DDC" w:rsidRPr="001145DB">
        <w:rPr>
          <w:rFonts w:ascii="Arial" w:eastAsia="Arial" w:hAnsi="Arial" w:cs="Arial"/>
          <w:i/>
          <w:iCs/>
          <w:color w:val="000000" w:themeColor="text1"/>
          <w:sz w:val="24"/>
          <w:szCs w:val="24"/>
        </w:rPr>
        <w:t xml:space="preserve"> de 202</w:t>
      </w:r>
      <w:r w:rsidR="00931695">
        <w:rPr>
          <w:rFonts w:ascii="Arial" w:eastAsia="Arial" w:hAnsi="Arial" w:cs="Arial"/>
          <w:i/>
          <w:iCs/>
          <w:color w:val="000000" w:themeColor="text1"/>
          <w:sz w:val="24"/>
          <w:szCs w:val="24"/>
        </w:rPr>
        <w:t>4</w:t>
      </w:r>
      <w:r w:rsidRPr="001145DB">
        <w:rPr>
          <w:rFonts w:ascii="Arial" w:eastAsia="Arial" w:hAnsi="Arial" w:cs="Arial"/>
          <w:i/>
          <w:iCs/>
          <w:color w:val="000000" w:themeColor="text1"/>
          <w:sz w:val="24"/>
          <w:szCs w:val="24"/>
        </w:rPr>
        <w:t xml:space="preserve"> </w:t>
      </w:r>
      <w:r w:rsidRPr="001145DB">
        <w:rPr>
          <w:rFonts w:ascii="Arial" w:eastAsia="Arial" w:hAnsi="Arial" w:cs="Arial"/>
          <w:color w:val="000000" w:themeColor="text1"/>
          <w:sz w:val="24"/>
          <w:szCs w:val="24"/>
        </w:rPr>
        <w:t xml:space="preserve">e participa de acompanhamento interdisciplinar dentro da metodologia </w:t>
      </w:r>
      <w:r w:rsidRPr="001145DB">
        <w:rPr>
          <w:rFonts w:ascii="Arial" w:eastAsia="Arial" w:hAnsi="Arial" w:cs="Arial"/>
          <w:i/>
          <w:iCs/>
          <w:color w:val="000000" w:themeColor="text1"/>
          <w:sz w:val="24"/>
          <w:szCs w:val="24"/>
        </w:rPr>
        <w:t>MIG/TREINI,</w:t>
      </w:r>
      <w:r w:rsidRPr="001145DB">
        <w:rPr>
          <w:rFonts w:ascii="Arial" w:eastAsia="Arial" w:hAnsi="Arial" w:cs="Arial"/>
          <w:color w:val="000000" w:themeColor="text1"/>
          <w:sz w:val="24"/>
          <w:szCs w:val="24"/>
        </w:rPr>
        <w:t xml:space="preserve"> sendo acompanhado pelas especialidades: </w:t>
      </w:r>
      <w:r w:rsidRPr="001145DB">
        <w:rPr>
          <w:rFonts w:ascii="Arial" w:eastAsia="Arial" w:hAnsi="Arial" w:cs="Arial"/>
          <w:i/>
          <w:iCs/>
          <w:color w:val="000000" w:themeColor="text1"/>
          <w:sz w:val="24"/>
          <w:szCs w:val="24"/>
        </w:rPr>
        <w:t xml:space="preserve">psicologia, </w:t>
      </w:r>
      <w:r w:rsidR="00931695">
        <w:rPr>
          <w:rFonts w:ascii="Arial" w:eastAsia="Arial" w:hAnsi="Arial" w:cs="Arial"/>
          <w:i/>
          <w:iCs/>
          <w:color w:val="000000" w:themeColor="text1"/>
          <w:sz w:val="24"/>
          <w:szCs w:val="24"/>
        </w:rPr>
        <w:t xml:space="preserve">fisioterapia, </w:t>
      </w:r>
      <w:r w:rsidRPr="001145DB">
        <w:rPr>
          <w:rFonts w:ascii="Arial" w:eastAsia="Arial" w:hAnsi="Arial" w:cs="Arial"/>
          <w:i/>
          <w:iCs/>
          <w:color w:val="000000" w:themeColor="text1"/>
          <w:sz w:val="24"/>
          <w:szCs w:val="24"/>
        </w:rPr>
        <w:t>fonoaudiologia, terapia ocupacional e musicoterapia.</w:t>
      </w:r>
    </w:p>
    <w:tbl>
      <w:tblPr>
        <w:tblW w:w="0" w:type="auto"/>
        <w:tblLayout w:type="fixed"/>
        <w:tblLook w:val="06A0" w:firstRow="1" w:lastRow="0" w:firstColumn="1" w:lastColumn="0" w:noHBand="1" w:noVBand="1"/>
      </w:tblPr>
      <w:tblGrid>
        <w:gridCol w:w="10455"/>
      </w:tblGrid>
      <w:tr w:rsidR="2C39C351" w14:paraId="15A0C84B" w14:textId="77777777" w:rsidTr="1F85A3C0">
        <w:trPr>
          <w:trHeight w:val="300"/>
        </w:trPr>
        <w:tc>
          <w:tcPr>
            <w:tcW w:w="10455" w:type="dxa"/>
            <w:shd w:val="clear" w:color="auto" w:fill="1F3864"/>
            <w:tcMar>
              <w:left w:w="108" w:type="dxa"/>
              <w:right w:w="108" w:type="dxa"/>
            </w:tcMar>
            <w:vAlign w:val="center"/>
          </w:tcPr>
          <w:p w14:paraId="524D35F6" w14:textId="56D12A87" w:rsidR="2C39C351" w:rsidRDefault="1F85A3C0" w:rsidP="1F85A3C0">
            <w:pPr>
              <w:spacing w:after="0"/>
              <w:ind w:left="3" w:hanging="5"/>
              <w:jc w:val="center"/>
            </w:pPr>
            <w:r w:rsidRPr="1F85A3C0">
              <w:rPr>
                <w:color w:val="FFFFFF" w:themeColor="background1"/>
                <w:sz w:val="52"/>
                <w:szCs w:val="52"/>
              </w:rPr>
              <w:t>AVALIAÇÕES MUSICOTERAPÊUTICAS</w:t>
            </w:r>
          </w:p>
        </w:tc>
      </w:tr>
    </w:tbl>
    <w:p w14:paraId="004D01D9" w14:textId="574189F5" w:rsidR="007A1A80" w:rsidRDefault="1F85A3C0" w:rsidP="1F85A3C0">
      <w:pPr>
        <w:spacing w:after="0" w:line="360" w:lineRule="auto"/>
        <w:ind w:left="0" w:hanging="2"/>
        <w:jc w:val="both"/>
        <w:rPr>
          <w:rFonts w:ascii="Arial" w:eastAsia="Arial" w:hAnsi="Arial" w:cs="Arial"/>
          <w:color w:val="000000" w:themeColor="text1"/>
          <w:sz w:val="24"/>
          <w:szCs w:val="24"/>
        </w:rPr>
      </w:pPr>
      <w:r w:rsidRPr="1F85A3C0">
        <w:rPr>
          <w:rFonts w:ascii="Arial" w:eastAsia="Arial" w:hAnsi="Arial" w:cs="Arial"/>
          <w:color w:val="000000" w:themeColor="text1"/>
          <w:sz w:val="24"/>
          <w:szCs w:val="24"/>
        </w:rPr>
        <w:t xml:space="preserve">Em </w:t>
      </w:r>
      <w:r w:rsidR="00A50DDC">
        <w:rPr>
          <w:rFonts w:ascii="Arial" w:eastAsia="Arial" w:hAnsi="Arial" w:cs="Arial"/>
          <w:color w:val="000000" w:themeColor="text1"/>
          <w:sz w:val="24"/>
          <w:szCs w:val="24"/>
        </w:rPr>
        <w:t>06/2025</w:t>
      </w:r>
      <w:r w:rsidRPr="1F85A3C0">
        <w:rPr>
          <w:rFonts w:ascii="Arial" w:eastAsia="Arial" w:hAnsi="Arial" w:cs="Arial"/>
          <w:color w:val="000000" w:themeColor="text1"/>
          <w:sz w:val="24"/>
          <w:szCs w:val="24"/>
        </w:rPr>
        <w:t xml:space="preserve"> foram realizadas as aplicações da</w:t>
      </w:r>
      <w:r w:rsidR="00A50DDC">
        <w:rPr>
          <w:rFonts w:ascii="Arial" w:eastAsia="Arial" w:hAnsi="Arial" w:cs="Arial"/>
          <w:color w:val="000000" w:themeColor="text1"/>
          <w:sz w:val="24"/>
          <w:szCs w:val="24"/>
        </w:rPr>
        <w:t xml:space="preserve"> ESCALA DE COMUNICABILIDADE MUSICAL NORDOFF ROBBINS e os IAPS em sessão,</w:t>
      </w:r>
      <w:r w:rsidRPr="1F85A3C0">
        <w:rPr>
          <w:rFonts w:ascii="Arial" w:eastAsia="Arial" w:hAnsi="Arial" w:cs="Arial"/>
          <w:color w:val="000000" w:themeColor="text1"/>
          <w:sz w:val="24"/>
          <w:szCs w:val="24"/>
        </w:rPr>
        <w:t xml:space="preserve"> a fim de coletar dados necessários para elaboração do plano </w:t>
      </w:r>
      <w:proofErr w:type="spellStart"/>
      <w:r w:rsidRPr="1F85A3C0">
        <w:rPr>
          <w:rFonts w:ascii="Arial" w:eastAsia="Arial" w:hAnsi="Arial" w:cs="Arial"/>
          <w:color w:val="000000" w:themeColor="text1"/>
          <w:sz w:val="24"/>
          <w:szCs w:val="24"/>
        </w:rPr>
        <w:t>musicoterapêutico</w:t>
      </w:r>
      <w:proofErr w:type="spellEnd"/>
      <w:r w:rsidRPr="1F85A3C0">
        <w:rPr>
          <w:rFonts w:ascii="Arial" w:eastAsia="Arial" w:hAnsi="Arial" w:cs="Arial"/>
          <w:color w:val="000000" w:themeColor="text1"/>
          <w:sz w:val="24"/>
          <w:szCs w:val="24"/>
        </w:rPr>
        <w:t xml:space="preserve"> especializado para o paciente. Os dados aqui descritos foram extraídos do relatório individual, anexados ao prontuário do paciente.</w:t>
      </w:r>
    </w:p>
    <w:p w14:paraId="297AA226" w14:textId="3EDF3D89" w:rsidR="007A1A80" w:rsidRDefault="001226BA" w:rsidP="1F85A3C0">
      <w:pPr>
        <w:spacing w:after="0" w:line="360" w:lineRule="auto"/>
        <w:ind w:left="0" w:hanging="2"/>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ESCALAS NORDOFF.</w:t>
      </w:r>
      <w:r w:rsidR="00A36B80">
        <w:tab/>
      </w:r>
    </w:p>
    <w:p w14:paraId="2586E826" w14:textId="200CB34C" w:rsidR="004354EF" w:rsidRPr="004354EF" w:rsidRDefault="004354EF" w:rsidP="004354EF">
      <w:pPr>
        <w:suppressAutoHyphens w:val="0"/>
        <w:spacing w:before="100" w:beforeAutospacing="1" w:after="100" w:afterAutospacing="1" w:line="240" w:lineRule="auto"/>
        <w:ind w:leftChars="0" w:left="0" w:firstLineChars="0" w:hanging="2"/>
        <w:textDirection w:val="lrTb"/>
        <w:textAlignment w:val="auto"/>
        <w:outlineLvl w:val="9"/>
        <w:rPr>
          <w:rFonts w:ascii="Arial" w:eastAsia="Times New Roman" w:hAnsi="Arial" w:cs="Arial"/>
          <w:position w:val="0"/>
          <w:sz w:val="24"/>
          <w:szCs w:val="24"/>
          <w:lang w:eastAsia="pt-BR"/>
        </w:rPr>
      </w:pPr>
      <w:r w:rsidRPr="004354EF">
        <w:rPr>
          <w:rFonts w:ascii="Arial" w:eastAsia="Times New Roman" w:hAnsi="Arial" w:cs="Arial"/>
          <w:position w:val="0"/>
          <w:sz w:val="24"/>
          <w:szCs w:val="24"/>
          <w:lang w:eastAsia="pt-BR"/>
        </w:rPr>
        <w:t xml:space="preserve">“As escalas </w:t>
      </w:r>
      <w:proofErr w:type="spellStart"/>
      <w:r w:rsidRPr="004354EF">
        <w:rPr>
          <w:rFonts w:ascii="Arial" w:eastAsia="Times New Roman" w:hAnsi="Arial" w:cs="Arial"/>
          <w:position w:val="0"/>
          <w:sz w:val="24"/>
          <w:szCs w:val="24"/>
          <w:lang w:eastAsia="pt-BR"/>
        </w:rPr>
        <w:t>Nordoff</w:t>
      </w:r>
      <w:proofErr w:type="spellEnd"/>
      <w:r w:rsidRPr="004354EF">
        <w:rPr>
          <w:rFonts w:ascii="Arial" w:eastAsia="Times New Roman" w:hAnsi="Arial" w:cs="Arial"/>
          <w:position w:val="0"/>
          <w:sz w:val="24"/>
          <w:szCs w:val="24"/>
          <w:lang w:eastAsia="pt-BR"/>
        </w:rPr>
        <w:t xml:space="preserve"> são ferramentas de avaliação desenvolvidas no contexto da Musicoterapia Criativa, originadas pelo trabalho de Paul </w:t>
      </w:r>
      <w:proofErr w:type="spellStart"/>
      <w:r w:rsidRPr="004354EF">
        <w:rPr>
          <w:rFonts w:ascii="Arial" w:eastAsia="Times New Roman" w:hAnsi="Arial" w:cs="Arial"/>
          <w:position w:val="0"/>
          <w:sz w:val="24"/>
          <w:szCs w:val="24"/>
          <w:lang w:eastAsia="pt-BR"/>
        </w:rPr>
        <w:t>Nordoff</w:t>
      </w:r>
      <w:proofErr w:type="spellEnd"/>
      <w:r w:rsidRPr="004354EF">
        <w:rPr>
          <w:rFonts w:ascii="Arial" w:eastAsia="Times New Roman" w:hAnsi="Arial" w:cs="Arial"/>
          <w:position w:val="0"/>
          <w:sz w:val="24"/>
          <w:szCs w:val="24"/>
          <w:lang w:eastAsia="pt-BR"/>
        </w:rPr>
        <w:t xml:space="preserve"> e Clive Robbins. Essas escalas têm como objetivo mensurar qualitativamente o engajamento musical, o relacionamento interpessoal e a expressividade emocional de pacientes em sessões </w:t>
      </w:r>
      <w:proofErr w:type="spellStart"/>
      <w:r w:rsidRPr="004354EF">
        <w:rPr>
          <w:rFonts w:ascii="Arial" w:eastAsia="Times New Roman" w:hAnsi="Arial" w:cs="Arial"/>
          <w:position w:val="0"/>
          <w:sz w:val="24"/>
          <w:szCs w:val="24"/>
          <w:lang w:eastAsia="pt-BR"/>
        </w:rPr>
        <w:t>musicoterapêuticas</w:t>
      </w:r>
      <w:proofErr w:type="spellEnd"/>
      <w:r w:rsidRPr="004354EF">
        <w:rPr>
          <w:rFonts w:ascii="Arial" w:eastAsia="Times New Roman" w:hAnsi="Arial" w:cs="Arial"/>
          <w:position w:val="0"/>
          <w:sz w:val="24"/>
          <w:szCs w:val="24"/>
          <w:lang w:eastAsia="pt-BR"/>
        </w:rPr>
        <w:t xml:space="preserve">. Estruturadas em </w:t>
      </w:r>
      <w:r w:rsidRPr="004354EF">
        <w:rPr>
          <w:rFonts w:ascii="Arial" w:eastAsia="Times New Roman" w:hAnsi="Arial" w:cs="Arial"/>
          <w:position w:val="0"/>
          <w:sz w:val="24"/>
          <w:szCs w:val="24"/>
          <w:lang w:eastAsia="pt-BR"/>
        </w:rPr>
        <w:lastRenderedPageBreak/>
        <w:t>domínios como “participação musical”, “resposta afetiva” e “iniciativa interpessoal”, as escalas permitem observar o desenvolvimento da comunicação não verbal, da intenção musical e da capacidade de interação do paciente ao longo do tempo. Elas se baseiam em registros audiovisuais das sessões, que são analisados posteriormente pelo musicoterapeuta, muitas vezes em conjunto com outros profissionais da equipe clínica.</w:t>
      </w:r>
    </w:p>
    <w:p w14:paraId="4384CBDA" w14:textId="431CB0BC" w:rsidR="004354EF" w:rsidRPr="004354EF" w:rsidRDefault="004354EF" w:rsidP="004354EF">
      <w:pPr>
        <w:suppressAutoHyphens w:val="0"/>
        <w:spacing w:before="100" w:beforeAutospacing="1" w:after="100" w:afterAutospacing="1" w:line="240" w:lineRule="auto"/>
        <w:ind w:leftChars="0" w:left="0" w:firstLineChars="0" w:hanging="2"/>
        <w:textDirection w:val="lrTb"/>
        <w:textAlignment w:val="auto"/>
        <w:outlineLvl w:val="9"/>
        <w:rPr>
          <w:rFonts w:ascii="Arial" w:eastAsia="Times New Roman" w:hAnsi="Arial" w:cs="Arial"/>
          <w:position w:val="0"/>
          <w:sz w:val="24"/>
          <w:szCs w:val="24"/>
          <w:lang w:eastAsia="pt-BR"/>
        </w:rPr>
      </w:pPr>
      <w:r w:rsidRPr="004354EF">
        <w:rPr>
          <w:rFonts w:ascii="Arial" w:eastAsia="Times New Roman" w:hAnsi="Arial" w:cs="Arial"/>
          <w:position w:val="0"/>
          <w:sz w:val="24"/>
          <w:szCs w:val="24"/>
          <w:lang w:eastAsia="pt-BR"/>
        </w:rPr>
        <w:t xml:space="preserve">A aplicação das escalas </w:t>
      </w:r>
      <w:proofErr w:type="spellStart"/>
      <w:r w:rsidRPr="004354EF">
        <w:rPr>
          <w:rFonts w:ascii="Arial" w:eastAsia="Times New Roman" w:hAnsi="Arial" w:cs="Arial"/>
          <w:position w:val="0"/>
          <w:sz w:val="24"/>
          <w:szCs w:val="24"/>
          <w:lang w:eastAsia="pt-BR"/>
        </w:rPr>
        <w:t>Nordoff</w:t>
      </w:r>
      <w:proofErr w:type="spellEnd"/>
      <w:r w:rsidRPr="004354EF">
        <w:rPr>
          <w:rFonts w:ascii="Arial" w:eastAsia="Times New Roman" w:hAnsi="Arial" w:cs="Arial"/>
          <w:position w:val="0"/>
          <w:sz w:val="24"/>
          <w:szCs w:val="24"/>
          <w:lang w:eastAsia="pt-BR"/>
        </w:rPr>
        <w:t xml:space="preserve"> ocorre principalmente em contextos clínicos com populações que apresentam desafios no desenvolvimento, como crianças com Transtorno do Espectro Autista (TEA) ou com deficiências múltiplas. Por meio da análise detalhada das interações musicais espontâneas, é possível traçar um perfil funcional do paciente e monitorar progressos em aspectos como regulação emocional, contato visual, intenção comunicativa e criatividade. Essa abordagem qualitativa e centrada na pessoa favorece a construção de intervenções individualizadas, respeitando os modos singulares de expressão do paciente, e contribui para integrar os dados clínicos da musicoterapia com os demais registros terapêuticos interdisciplinares.”</w:t>
      </w:r>
    </w:p>
    <w:p w14:paraId="41A8641B" w14:textId="5B4D3280" w:rsidR="007A1A80" w:rsidRDefault="007A1A80" w:rsidP="1F85A3C0">
      <w:pPr>
        <w:spacing w:after="0" w:line="360" w:lineRule="auto"/>
        <w:ind w:left="0" w:hanging="2"/>
        <w:jc w:val="both"/>
        <w:rPr>
          <w:rFonts w:ascii="Arial" w:eastAsia="Arial" w:hAnsi="Arial" w:cs="Arial"/>
          <w:color w:val="000000" w:themeColor="text1"/>
          <w:sz w:val="24"/>
          <w:szCs w:val="24"/>
        </w:rPr>
      </w:pPr>
    </w:p>
    <w:p w14:paraId="76196E7C" w14:textId="42AF7E61" w:rsidR="007A1A80" w:rsidRDefault="0004422B" w:rsidP="1F85A3C0">
      <w:pPr>
        <w:spacing w:after="0" w:line="360" w:lineRule="auto"/>
        <w:ind w:left="0" w:hanging="2"/>
        <w:jc w:val="both"/>
        <w:rPr>
          <w:rFonts w:ascii="Arial" w:eastAsia="Arial" w:hAnsi="Arial" w:cs="Arial"/>
          <w:color w:val="000000" w:themeColor="text1"/>
          <w:sz w:val="24"/>
          <w:szCs w:val="24"/>
        </w:rPr>
      </w:pPr>
      <w:r>
        <w:rPr>
          <w:rFonts w:ascii="Arial" w:eastAsia="Arial" w:hAnsi="Arial" w:cs="Arial"/>
          <w:color w:val="000000" w:themeColor="text1"/>
          <w:sz w:val="24"/>
          <w:szCs w:val="24"/>
          <w:u w:val="single"/>
        </w:rPr>
        <w:t>IAPS</w:t>
      </w:r>
    </w:p>
    <w:p w14:paraId="6A3F22B4" w14:textId="77777777" w:rsidR="0004422B" w:rsidRPr="0004422B" w:rsidRDefault="0004422B" w:rsidP="0004422B">
      <w:pPr>
        <w:suppressAutoHyphens w:val="0"/>
        <w:spacing w:before="100" w:beforeAutospacing="1" w:after="100" w:afterAutospacing="1" w:line="240" w:lineRule="auto"/>
        <w:ind w:leftChars="0" w:left="0" w:firstLineChars="0" w:hanging="2"/>
        <w:textDirection w:val="lrTb"/>
        <w:textAlignment w:val="auto"/>
        <w:outlineLvl w:val="9"/>
        <w:rPr>
          <w:rFonts w:ascii="Arial" w:eastAsia="Times New Roman" w:hAnsi="Arial" w:cs="Arial"/>
          <w:position w:val="0"/>
          <w:sz w:val="24"/>
          <w:szCs w:val="24"/>
          <w:lang w:eastAsia="pt-BR"/>
        </w:rPr>
      </w:pPr>
      <w:proofErr w:type="spellStart"/>
      <w:r w:rsidRPr="00C82256">
        <w:rPr>
          <w:rFonts w:ascii="Arial" w:eastAsia="Times New Roman" w:hAnsi="Arial" w:cs="Arial"/>
          <w:bCs/>
          <w:position w:val="0"/>
          <w:sz w:val="24"/>
          <w:szCs w:val="24"/>
          <w:lang w:eastAsia="pt-BR"/>
        </w:rPr>
        <w:t>IAPs</w:t>
      </w:r>
      <w:proofErr w:type="spellEnd"/>
      <w:r w:rsidRPr="00C82256">
        <w:rPr>
          <w:rFonts w:ascii="Arial" w:eastAsia="Times New Roman" w:hAnsi="Arial" w:cs="Arial"/>
          <w:bCs/>
          <w:position w:val="0"/>
          <w:sz w:val="24"/>
          <w:szCs w:val="24"/>
          <w:lang w:eastAsia="pt-BR"/>
        </w:rPr>
        <w:t xml:space="preserve"> (Instrumentos de Avaliação da Prática)</w:t>
      </w:r>
      <w:r w:rsidRPr="0004422B">
        <w:rPr>
          <w:rFonts w:ascii="Arial" w:eastAsia="Times New Roman" w:hAnsi="Arial" w:cs="Arial"/>
          <w:position w:val="0"/>
          <w:sz w:val="24"/>
          <w:szCs w:val="24"/>
          <w:lang w:eastAsia="pt-BR"/>
        </w:rPr>
        <w:t xml:space="preserve"> são ferramentas estruturadas utilizadas para a mensuração de variáveis clínicas e comportamentais em contextos terapêuticos, como a musicoterapia. Esses instrumentos são construídos com base em princípios da psicometria, como validade, fidedignidade e sensibilidade à mudança, e visam fornecer dados objetivos sobre o desempenho de um indivíduo em diferentes domínios funcionais (</w:t>
      </w:r>
      <w:proofErr w:type="spellStart"/>
      <w:r w:rsidRPr="0004422B">
        <w:rPr>
          <w:rFonts w:ascii="Arial" w:eastAsia="Times New Roman" w:hAnsi="Arial" w:cs="Arial"/>
          <w:position w:val="0"/>
          <w:sz w:val="24"/>
          <w:szCs w:val="24"/>
          <w:lang w:eastAsia="pt-BR"/>
        </w:rPr>
        <w:t>ex</w:t>
      </w:r>
      <w:proofErr w:type="spellEnd"/>
      <w:r w:rsidRPr="0004422B">
        <w:rPr>
          <w:rFonts w:ascii="Arial" w:eastAsia="Times New Roman" w:hAnsi="Arial" w:cs="Arial"/>
          <w:position w:val="0"/>
          <w:sz w:val="24"/>
          <w:szCs w:val="24"/>
          <w:lang w:eastAsia="pt-BR"/>
        </w:rPr>
        <w:t xml:space="preserve">: comunicação, cognição, afetividade e motricidade). Em musicoterapia, os </w:t>
      </w:r>
      <w:proofErr w:type="spellStart"/>
      <w:r w:rsidRPr="0004422B">
        <w:rPr>
          <w:rFonts w:ascii="Arial" w:eastAsia="Times New Roman" w:hAnsi="Arial" w:cs="Arial"/>
          <w:position w:val="0"/>
          <w:sz w:val="24"/>
          <w:szCs w:val="24"/>
          <w:lang w:eastAsia="pt-BR"/>
        </w:rPr>
        <w:t>IAPs</w:t>
      </w:r>
      <w:proofErr w:type="spellEnd"/>
      <w:r w:rsidRPr="0004422B">
        <w:rPr>
          <w:rFonts w:ascii="Arial" w:eastAsia="Times New Roman" w:hAnsi="Arial" w:cs="Arial"/>
          <w:position w:val="0"/>
          <w:sz w:val="24"/>
          <w:szCs w:val="24"/>
          <w:lang w:eastAsia="pt-BR"/>
        </w:rPr>
        <w:t xml:space="preserve"> adaptam esses parâmetros à realidade sonora e relacional da prática clínica, registrando comportamentos observáveis relacionados à participação musical, à responsividade afetiva e à interação social durante as sessões.</w:t>
      </w:r>
    </w:p>
    <w:p w14:paraId="132341FD" w14:textId="77777777" w:rsidR="0004422B" w:rsidRPr="0004422B" w:rsidRDefault="0004422B" w:rsidP="0004422B">
      <w:pPr>
        <w:suppressAutoHyphens w:val="0"/>
        <w:spacing w:before="100" w:beforeAutospacing="1" w:after="100" w:afterAutospacing="1" w:line="240" w:lineRule="auto"/>
        <w:ind w:leftChars="0" w:left="0" w:firstLineChars="0" w:hanging="2"/>
        <w:textDirection w:val="lrTb"/>
        <w:textAlignment w:val="auto"/>
        <w:outlineLvl w:val="9"/>
        <w:rPr>
          <w:rFonts w:ascii="Arial" w:eastAsia="Times New Roman" w:hAnsi="Arial" w:cs="Arial"/>
          <w:position w:val="0"/>
          <w:sz w:val="24"/>
          <w:szCs w:val="24"/>
          <w:lang w:eastAsia="pt-BR"/>
        </w:rPr>
      </w:pPr>
      <w:r w:rsidRPr="0004422B">
        <w:rPr>
          <w:rFonts w:ascii="Arial" w:eastAsia="Times New Roman" w:hAnsi="Arial" w:cs="Arial"/>
          <w:position w:val="0"/>
          <w:sz w:val="24"/>
          <w:szCs w:val="24"/>
          <w:lang w:eastAsia="pt-BR"/>
        </w:rPr>
        <w:t xml:space="preserve">A aplicação dos </w:t>
      </w:r>
      <w:proofErr w:type="spellStart"/>
      <w:r w:rsidRPr="0004422B">
        <w:rPr>
          <w:rFonts w:ascii="Arial" w:eastAsia="Times New Roman" w:hAnsi="Arial" w:cs="Arial"/>
          <w:position w:val="0"/>
          <w:sz w:val="24"/>
          <w:szCs w:val="24"/>
          <w:lang w:eastAsia="pt-BR"/>
        </w:rPr>
        <w:t>IAPs</w:t>
      </w:r>
      <w:proofErr w:type="spellEnd"/>
      <w:r w:rsidRPr="0004422B">
        <w:rPr>
          <w:rFonts w:ascii="Arial" w:eastAsia="Times New Roman" w:hAnsi="Arial" w:cs="Arial"/>
          <w:position w:val="0"/>
          <w:sz w:val="24"/>
          <w:szCs w:val="24"/>
          <w:lang w:eastAsia="pt-BR"/>
        </w:rPr>
        <w:t xml:space="preserve"> na musicoterapia está alinhada aos fundamentos da </w:t>
      </w:r>
      <w:r w:rsidRPr="00C82256">
        <w:rPr>
          <w:rFonts w:ascii="Arial" w:eastAsia="Times New Roman" w:hAnsi="Arial" w:cs="Arial"/>
          <w:bCs/>
          <w:position w:val="0"/>
          <w:sz w:val="24"/>
          <w:szCs w:val="24"/>
          <w:lang w:eastAsia="pt-BR"/>
        </w:rPr>
        <w:t>avaliação comportamental funcional</w:t>
      </w:r>
      <w:r w:rsidRPr="0004422B">
        <w:rPr>
          <w:rFonts w:ascii="Arial" w:eastAsia="Times New Roman" w:hAnsi="Arial" w:cs="Arial"/>
          <w:position w:val="0"/>
          <w:sz w:val="24"/>
          <w:szCs w:val="24"/>
          <w:lang w:eastAsia="pt-BR"/>
        </w:rPr>
        <w:t xml:space="preserve"> e da </w:t>
      </w:r>
      <w:r w:rsidRPr="00C82256">
        <w:rPr>
          <w:rFonts w:ascii="Arial" w:eastAsia="Times New Roman" w:hAnsi="Arial" w:cs="Arial"/>
          <w:bCs/>
          <w:position w:val="0"/>
          <w:sz w:val="24"/>
          <w:szCs w:val="24"/>
          <w:lang w:eastAsia="pt-BR"/>
        </w:rPr>
        <w:t>psicologia do desenvolvimento</w:t>
      </w:r>
      <w:r w:rsidRPr="0004422B">
        <w:rPr>
          <w:rFonts w:ascii="Arial" w:eastAsia="Times New Roman" w:hAnsi="Arial" w:cs="Arial"/>
          <w:position w:val="0"/>
          <w:sz w:val="24"/>
          <w:szCs w:val="24"/>
          <w:lang w:eastAsia="pt-BR"/>
        </w:rPr>
        <w:t xml:space="preserve">, permitindo a análise sistemática da evolução do paciente ao longo do processo terapêutico. O uso de categorias observacionais padronizadas possibilita a quantificação de indicadores clínicos com base em registros de vídeo ou anotações estruturadas. Isso confere ao processo terapêutico maior </w:t>
      </w:r>
      <w:r w:rsidRPr="00C82256">
        <w:rPr>
          <w:rFonts w:ascii="Arial" w:eastAsia="Times New Roman" w:hAnsi="Arial" w:cs="Arial"/>
          <w:bCs/>
          <w:position w:val="0"/>
          <w:sz w:val="24"/>
          <w:szCs w:val="24"/>
          <w:lang w:eastAsia="pt-BR"/>
        </w:rPr>
        <w:t>rastreabilidade e confiabilidade científica</w:t>
      </w:r>
      <w:r w:rsidRPr="0004422B">
        <w:rPr>
          <w:rFonts w:ascii="Arial" w:eastAsia="Times New Roman" w:hAnsi="Arial" w:cs="Arial"/>
          <w:position w:val="0"/>
          <w:sz w:val="24"/>
          <w:szCs w:val="24"/>
          <w:lang w:eastAsia="pt-BR"/>
        </w:rPr>
        <w:t xml:space="preserve">, tornando os dados obtidos passíveis de análise estatística e integração com protocolos de pesquisa clínica. Assim, os </w:t>
      </w:r>
      <w:proofErr w:type="spellStart"/>
      <w:r w:rsidRPr="0004422B">
        <w:rPr>
          <w:rFonts w:ascii="Arial" w:eastAsia="Times New Roman" w:hAnsi="Arial" w:cs="Arial"/>
          <w:position w:val="0"/>
          <w:sz w:val="24"/>
          <w:szCs w:val="24"/>
          <w:lang w:eastAsia="pt-BR"/>
        </w:rPr>
        <w:t>IAPs</w:t>
      </w:r>
      <w:proofErr w:type="spellEnd"/>
      <w:r w:rsidRPr="0004422B">
        <w:rPr>
          <w:rFonts w:ascii="Arial" w:eastAsia="Times New Roman" w:hAnsi="Arial" w:cs="Arial"/>
          <w:position w:val="0"/>
          <w:sz w:val="24"/>
          <w:szCs w:val="24"/>
          <w:lang w:eastAsia="pt-BR"/>
        </w:rPr>
        <w:t xml:space="preserve"> fortalecem a prática baseada em evidências, promovendo intervenções mais eficazes e fundamentadas em dados objetivos dentro da musicoterapia.</w:t>
      </w:r>
    </w:p>
    <w:p w14:paraId="6190161E" w14:textId="77777777" w:rsidR="0004422B" w:rsidRDefault="0004422B" w:rsidP="1F85A3C0">
      <w:pPr>
        <w:spacing w:after="0" w:line="360" w:lineRule="auto"/>
        <w:ind w:left="0" w:hanging="2"/>
        <w:jc w:val="both"/>
        <w:rPr>
          <w:rFonts w:ascii="Arial" w:eastAsia="Arial" w:hAnsi="Arial" w:cs="Arial"/>
          <w:color w:val="000000" w:themeColor="text1"/>
          <w:sz w:val="24"/>
          <w:szCs w:val="24"/>
        </w:rPr>
      </w:pPr>
    </w:p>
    <w:p w14:paraId="557085B8" w14:textId="2745FE67" w:rsidR="007A1A80" w:rsidRDefault="1F85A3C0" w:rsidP="1F85A3C0">
      <w:pPr>
        <w:spacing w:after="0" w:line="360" w:lineRule="auto"/>
        <w:ind w:left="0" w:hanging="2"/>
        <w:jc w:val="both"/>
        <w:rPr>
          <w:rFonts w:ascii="Arial" w:eastAsia="Arial" w:hAnsi="Arial" w:cs="Arial"/>
          <w:color w:val="000000" w:themeColor="text1"/>
          <w:sz w:val="24"/>
          <w:szCs w:val="24"/>
        </w:rPr>
      </w:pPr>
      <w:r w:rsidRPr="1F85A3C0">
        <w:rPr>
          <w:rFonts w:ascii="Arial" w:eastAsia="Arial" w:hAnsi="Arial" w:cs="Arial"/>
          <w:color w:val="000000" w:themeColor="text1"/>
          <w:sz w:val="24"/>
          <w:szCs w:val="24"/>
          <w:u w:val="single"/>
        </w:rPr>
        <w:t>Preferências e Recusas sonoro-musicais</w:t>
      </w:r>
    </w:p>
    <w:p w14:paraId="088ABC57" w14:textId="73C9A764" w:rsidR="007A1A80" w:rsidRPr="00D3624C" w:rsidRDefault="00D3624C" w:rsidP="1F85A3C0">
      <w:pPr>
        <w:spacing w:after="0" w:line="360" w:lineRule="auto"/>
        <w:ind w:left="0" w:hanging="2"/>
        <w:jc w:val="both"/>
        <w:rPr>
          <w:rFonts w:ascii="Arial" w:eastAsia="Arial" w:hAnsi="Arial" w:cs="Arial"/>
          <w:color w:val="000000" w:themeColor="text1"/>
          <w:sz w:val="24"/>
          <w:szCs w:val="24"/>
        </w:rPr>
      </w:pPr>
      <w:r w:rsidRPr="00D3624C">
        <w:rPr>
          <w:rFonts w:ascii="Arial" w:eastAsia="Arial" w:hAnsi="Arial" w:cs="Arial"/>
          <w:color w:val="000000" w:themeColor="text1"/>
          <w:sz w:val="24"/>
          <w:szCs w:val="24"/>
        </w:rPr>
        <w:t xml:space="preserve">Considerando a condição de surdez, as respostas da paciente aos estímulos sonoro-musicais estão predominantemente associadas a componentes </w:t>
      </w:r>
      <w:proofErr w:type="spellStart"/>
      <w:r w:rsidRPr="00D3624C">
        <w:rPr>
          <w:rFonts w:ascii="Arial" w:eastAsia="Arial" w:hAnsi="Arial" w:cs="Arial"/>
          <w:color w:val="000000" w:themeColor="text1"/>
          <w:sz w:val="24"/>
          <w:szCs w:val="24"/>
        </w:rPr>
        <w:t>vibrotáteis</w:t>
      </w:r>
      <w:proofErr w:type="spellEnd"/>
      <w:r w:rsidRPr="00D3624C">
        <w:rPr>
          <w:rFonts w:ascii="Arial" w:eastAsia="Arial" w:hAnsi="Arial" w:cs="Arial"/>
          <w:color w:val="000000" w:themeColor="text1"/>
          <w:sz w:val="24"/>
          <w:szCs w:val="24"/>
        </w:rPr>
        <w:t xml:space="preserve"> e proprioceptivos. Observa-se maior responsividade a estímulos de baixa frequência, vibrações perceptíveis corporalmente e instrumentos que proporcionam feedback sensorial tátil. Não foram identificadas respostas de aversão específicas, porém estímulos vibratórios muito intensos ou abruptos podem gerar </w:t>
      </w:r>
      <w:proofErr w:type="spellStart"/>
      <w:proofErr w:type="gramStart"/>
      <w:r w:rsidRPr="00D3624C">
        <w:rPr>
          <w:rFonts w:ascii="Arial" w:eastAsia="Arial" w:hAnsi="Arial" w:cs="Arial"/>
          <w:color w:val="000000" w:themeColor="text1"/>
          <w:sz w:val="24"/>
          <w:szCs w:val="24"/>
        </w:rPr>
        <w:t>desconforto.</w:t>
      </w:r>
      <w:r w:rsidR="1F85A3C0" w:rsidRPr="00D3624C">
        <w:rPr>
          <w:rFonts w:ascii="Arial" w:eastAsia="Arial" w:hAnsi="Arial" w:cs="Arial"/>
          <w:color w:val="000000" w:themeColor="text1"/>
          <w:sz w:val="24"/>
          <w:szCs w:val="24"/>
        </w:rPr>
        <w:t>Interações</w:t>
      </w:r>
      <w:proofErr w:type="spellEnd"/>
      <w:proofErr w:type="gramEnd"/>
      <w:r w:rsidR="1F85A3C0" w:rsidRPr="00D3624C">
        <w:rPr>
          <w:rFonts w:ascii="Arial" w:eastAsia="Arial" w:hAnsi="Arial" w:cs="Arial"/>
          <w:color w:val="000000" w:themeColor="text1"/>
          <w:sz w:val="24"/>
          <w:szCs w:val="24"/>
        </w:rPr>
        <w:t xml:space="preserve"> sonoro-musicais</w:t>
      </w:r>
    </w:p>
    <w:p w14:paraId="7D7BD2DD" w14:textId="0C93AF0F" w:rsidR="73EF8AAA" w:rsidRDefault="00D3624C" w:rsidP="1F85A3C0">
      <w:pPr>
        <w:widowControl w:val="0"/>
        <w:spacing w:after="0"/>
        <w:ind w:left="0" w:hanging="2"/>
        <w:jc w:val="both"/>
        <w:rPr>
          <w:color w:val="000000" w:themeColor="text1"/>
          <w:sz w:val="24"/>
          <w:szCs w:val="24"/>
        </w:rPr>
      </w:pPr>
      <w:r w:rsidRPr="00D3624C">
        <w:rPr>
          <w:color w:val="000000" w:themeColor="text1"/>
          <w:sz w:val="24"/>
          <w:szCs w:val="24"/>
        </w:rPr>
        <w:lastRenderedPageBreak/>
        <w:t xml:space="preserve">A interação terapêutica se fortalece por meio da mediação corporal, da exploração sensorial e da </w:t>
      </w:r>
      <w:proofErr w:type="spellStart"/>
      <w:proofErr w:type="gramStart"/>
      <w:r w:rsidRPr="00D3624C">
        <w:rPr>
          <w:color w:val="000000" w:themeColor="text1"/>
          <w:sz w:val="24"/>
          <w:szCs w:val="24"/>
        </w:rPr>
        <w:t>co-regulação</w:t>
      </w:r>
      <w:proofErr w:type="spellEnd"/>
      <w:proofErr w:type="gramEnd"/>
      <w:r w:rsidRPr="00D3624C">
        <w:rPr>
          <w:color w:val="000000" w:themeColor="text1"/>
          <w:sz w:val="24"/>
          <w:szCs w:val="24"/>
        </w:rPr>
        <w:t xml:space="preserve"> rítmica, possibilitando o desenvolvimento da comunicação não verbal e do vínculo terapêutico dentro da proposta </w:t>
      </w:r>
      <w:proofErr w:type="spellStart"/>
      <w:r w:rsidRPr="00D3624C">
        <w:rPr>
          <w:color w:val="000000" w:themeColor="text1"/>
          <w:sz w:val="24"/>
          <w:szCs w:val="24"/>
        </w:rPr>
        <w:t>musicoterapêutica</w:t>
      </w:r>
      <w:proofErr w:type="spellEnd"/>
      <w:r w:rsidRPr="00D3624C">
        <w:rPr>
          <w:color w:val="000000" w:themeColor="text1"/>
          <w:sz w:val="24"/>
          <w:szCs w:val="24"/>
        </w:rPr>
        <w:t>.</w:t>
      </w:r>
    </w:p>
    <w:p w14:paraId="36FB925B" w14:textId="68EB9F7A" w:rsidR="1F85A3C0" w:rsidRDefault="1F85A3C0" w:rsidP="1F85A3C0">
      <w:pPr>
        <w:spacing w:before="200" w:after="0" w:line="240" w:lineRule="auto"/>
        <w:ind w:left="0" w:hanging="2"/>
        <w:jc w:val="both"/>
        <w:rPr>
          <w:color w:val="000000" w:themeColor="text1"/>
          <w:highlight w:val="yellow"/>
        </w:rPr>
      </w:pPr>
    </w:p>
    <w:p w14:paraId="657ED4F3" w14:textId="29B21E96" w:rsidR="1F85A3C0" w:rsidRDefault="1F85A3C0" w:rsidP="1F85A3C0">
      <w:pPr>
        <w:spacing w:before="200" w:after="0" w:line="240" w:lineRule="auto"/>
        <w:ind w:left="0" w:hanging="2"/>
        <w:jc w:val="both"/>
        <w:rPr>
          <w:color w:val="000000" w:themeColor="text1"/>
          <w:highlight w:val="yellow"/>
        </w:rPr>
      </w:pPr>
    </w:p>
    <w:tbl>
      <w:tblPr>
        <w:tblW w:w="0" w:type="auto"/>
        <w:tblLayout w:type="fixed"/>
        <w:tblLook w:val="06A0" w:firstRow="1" w:lastRow="0" w:firstColumn="1" w:lastColumn="0" w:noHBand="1" w:noVBand="1"/>
      </w:tblPr>
      <w:tblGrid>
        <w:gridCol w:w="10455"/>
      </w:tblGrid>
      <w:tr w:rsidR="2C39C351" w14:paraId="735A4F3E" w14:textId="77777777" w:rsidTr="2C39C351">
        <w:trPr>
          <w:trHeight w:val="615"/>
        </w:trPr>
        <w:tc>
          <w:tcPr>
            <w:tcW w:w="10455" w:type="dxa"/>
            <w:shd w:val="clear" w:color="auto" w:fill="1F3864"/>
            <w:tcMar>
              <w:left w:w="288" w:type="dxa"/>
            </w:tcMar>
            <w:vAlign w:val="center"/>
          </w:tcPr>
          <w:p w14:paraId="42C5123F" w14:textId="72240F59" w:rsidR="2C39C351" w:rsidRDefault="00B51411" w:rsidP="2C39C351">
            <w:pPr>
              <w:spacing w:after="0"/>
              <w:ind w:left="3" w:hanging="5"/>
              <w:jc w:val="both"/>
            </w:pPr>
            <w:r>
              <w:rPr>
                <w:color w:val="FFFFFF" w:themeColor="background1"/>
                <w:sz w:val="52"/>
                <w:szCs w:val="52"/>
              </w:rPr>
              <w:t>RESUMO GERAL</w:t>
            </w:r>
          </w:p>
        </w:tc>
      </w:tr>
    </w:tbl>
    <w:p w14:paraId="192B686E" w14:textId="388C3FD0" w:rsidR="007A1A80" w:rsidRDefault="00A36B80" w:rsidP="1F85A3C0">
      <w:pPr>
        <w:spacing w:before="200" w:after="0" w:line="240" w:lineRule="auto"/>
        <w:ind w:left="0" w:hanging="2"/>
        <w:jc w:val="both"/>
      </w:pPr>
      <w:r>
        <w:br/>
      </w:r>
      <w:r>
        <w:tab/>
      </w:r>
      <w:r w:rsidR="00081565">
        <w:rPr>
          <w:noProof/>
        </w:rPr>
        <w:drawing>
          <wp:inline distT="0" distB="0" distL="0" distR="0" wp14:anchorId="7778ECD2" wp14:editId="44989985">
            <wp:extent cx="4048690" cy="2467319"/>
            <wp:effectExtent l="0" t="0" r="9525" b="9525"/>
            <wp:docPr id="1248751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5150" name="Imagem 124875150"/>
                    <pic:cNvPicPr/>
                  </pic:nvPicPr>
                  <pic:blipFill>
                    <a:blip r:embed="rId9">
                      <a:extLst>
                        <a:ext uri="{28A0092B-C50C-407E-A947-70E740481C1C}">
                          <a14:useLocalDpi xmlns:a14="http://schemas.microsoft.com/office/drawing/2010/main" val="0"/>
                        </a:ext>
                      </a:extLst>
                    </a:blip>
                    <a:stretch>
                      <a:fillRect/>
                    </a:stretch>
                  </pic:blipFill>
                  <pic:spPr>
                    <a:xfrm>
                      <a:off x="0" y="0"/>
                      <a:ext cx="4048690" cy="2467319"/>
                    </a:xfrm>
                    <a:prstGeom prst="rect">
                      <a:avLst/>
                    </a:prstGeom>
                  </pic:spPr>
                </pic:pic>
              </a:graphicData>
            </a:graphic>
          </wp:inline>
        </w:drawing>
      </w:r>
    </w:p>
    <w:p w14:paraId="7CD350AC" w14:textId="06845729" w:rsidR="007A1A80" w:rsidRDefault="007A1A80" w:rsidP="1F85A3C0">
      <w:pPr>
        <w:spacing w:before="200" w:after="0" w:line="360" w:lineRule="auto"/>
        <w:ind w:left="0" w:hanging="2"/>
        <w:jc w:val="both"/>
        <w:rPr>
          <w:color w:val="000000"/>
        </w:rPr>
      </w:pPr>
    </w:p>
    <w:tbl>
      <w:tblPr>
        <w:tblStyle w:val="af0"/>
        <w:tblW w:w="10784" w:type="dxa"/>
        <w:tblInd w:w="-288" w:type="dxa"/>
        <w:tblLayout w:type="fixed"/>
        <w:tblLook w:val="0000" w:firstRow="0" w:lastRow="0" w:firstColumn="0" w:lastColumn="0" w:noHBand="0" w:noVBand="0"/>
      </w:tblPr>
      <w:tblGrid>
        <w:gridCol w:w="10784"/>
      </w:tblGrid>
      <w:tr w:rsidR="007A1A80" w14:paraId="5F03F85A" w14:textId="77777777" w:rsidTr="1F85A3C0">
        <w:trPr>
          <w:trHeight w:val="612"/>
        </w:trPr>
        <w:tc>
          <w:tcPr>
            <w:tcW w:w="10784" w:type="dxa"/>
            <w:shd w:val="clear" w:color="auto" w:fill="1F3864"/>
            <w:tcMar>
              <w:top w:w="0" w:type="dxa"/>
              <w:left w:w="288" w:type="dxa"/>
              <w:bottom w:w="0" w:type="dxa"/>
              <w:right w:w="0" w:type="dxa"/>
            </w:tcMar>
            <w:vAlign w:val="center"/>
          </w:tcPr>
          <w:p w14:paraId="40F1F346" w14:textId="77777777" w:rsidR="007A1A80" w:rsidRDefault="1F85A3C0" w:rsidP="1F85A3C0">
            <w:pPr>
              <w:spacing w:after="0"/>
              <w:ind w:left="3" w:hanging="5"/>
              <w:jc w:val="both"/>
              <w:rPr>
                <w:sz w:val="52"/>
                <w:szCs w:val="52"/>
              </w:rPr>
            </w:pPr>
            <w:r w:rsidRPr="1F85A3C0">
              <w:rPr>
                <w:color w:val="FFFFFF" w:themeColor="background1"/>
                <w:sz w:val="52"/>
                <w:szCs w:val="52"/>
              </w:rPr>
              <w:t>PLANO TERAPÊUTICO</w:t>
            </w:r>
          </w:p>
        </w:tc>
      </w:tr>
    </w:tbl>
    <w:p w14:paraId="5B95CD12" w14:textId="77777777" w:rsidR="007A1A80" w:rsidRDefault="007A1A80" w:rsidP="1F85A3C0">
      <w:pPr>
        <w:spacing w:after="0" w:line="240" w:lineRule="auto"/>
        <w:ind w:left="0" w:hanging="2"/>
      </w:pPr>
    </w:p>
    <w:p w14:paraId="0C82E2D0" w14:textId="74ED9670" w:rsidR="2C39C351" w:rsidRDefault="2C39C351" w:rsidP="2C39C351">
      <w:pPr>
        <w:spacing w:after="0"/>
        <w:ind w:left="1" w:hanging="3"/>
        <w:jc w:val="center"/>
      </w:pPr>
      <w:r w:rsidRPr="2C39C351">
        <w:rPr>
          <w:b/>
          <w:bCs/>
          <w:color w:val="000000" w:themeColor="text1"/>
          <w:sz w:val="28"/>
          <w:szCs w:val="28"/>
        </w:rPr>
        <w:t>METAS CENTRADAS NA FAMÍLIA E NA CRIANÇA</w:t>
      </w:r>
    </w:p>
    <w:p w14:paraId="208B3744" w14:textId="21C93F27" w:rsidR="2C39C351" w:rsidRDefault="2C39C351" w:rsidP="2C39C351">
      <w:pPr>
        <w:spacing w:after="0"/>
        <w:ind w:left="1" w:hanging="3"/>
        <w:jc w:val="center"/>
        <w:rPr>
          <w:b/>
          <w:bCs/>
          <w:color w:val="000000" w:themeColor="text1"/>
          <w:sz w:val="28"/>
          <w:szCs w:val="28"/>
        </w:rPr>
      </w:pPr>
    </w:p>
    <w:p w14:paraId="6C92ADD8" w14:textId="75A107F8" w:rsidR="2C39C351" w:rsidRDefault="2C39C351" w:rsidP="2C39C351">
      <w:pPr>
        <w:spacing w:after="0"/>
        <w:ind w:left="0" w:hanging="2"/>
      </w:pPr>
      <w:r w:rsidRPr="2C39C351">
        <w:rPr>
          <w:rFonts w:ascii="Arial" w:eastAsia="Arial" w:hAnsi="Arial" w:cs="Arial"/>
          <w:b/>
          <w:bCs/>
          <w:color w:val="000000" w:themeColor="text1"/>
          <w:sz w:val="24"/>
          <w:szCs w:val="24"/>
        </w:rPr>
        <w:t>Desfechos da avaliação:</w:t>
      </w:r>
      <w:r w:rsidRPr="2C39C351">
        <w:rPr>
          <w:b/>
          <w:bCs/>
          <w:color w:val="000000" w:themeColor="text1"/>
        </w:rPr>
        <w:t xml:space="preserve"> </w:t>
      </w:r>
    </w:p>
    <w:p w14:paraId="2B6CD6CD" w14:textId="77777777" w:rsidR="00081565" w:rsidRPr="00081565" w:rsidRDefault="2C39C351" w:rsidP="00081565">
      <w:pPr>
        <w:pStyle w:val="NormalWeb"/>
        <w:ind w:left="0" w:hanging="2"/>
      </w:pPr>
      <w:r>
        <w:br/>
      </w:r>
      <w:r>
        <w:tab/>
      </w:r>
      <w:r w:rsidR="00081565" w:rsidRPr="00081565">
        <w:t xml:space="preserve">Antonela, 07 anos, com diagnóstico de paralisia cerebral associada à surdez, foi avaliada em musicoterapia por meio de instrumentos reconhecidos na área, incluindo os </w:t>
      </w:r>
      <w:proofErr w:type="spellStart"/>
      <w:r w:rsidR="00081565" w:rsidRPr="00081565">
        <w:t>IAPs</w:t>
      </w:r>
      <w:proofErr w:type="spellEnd"/>
      <w:r w:rsidR="00081565" w:rsidRPr="00081565">
        <w:t xml:space="preserve"> (Instrumentos de Avaliação da Prática) e as Escalas </w:t>
      </w:r>
      <w:proofErr w:type="spellStart"/>
      <w:r w:rsidR="00081565" w:rsidRPr="00081565">
        <w:t>Nordoff</w:t>
      </w:r>
      <w:proofErr w:type="spellEnd"/>
      <w:r w:rsidR="00081565" w:rsidRPr="00081565">
        <w:t xml:space="preserve">-Robbins. A análise do domínio de </w:t>
      </w:r>
      <w:r w:rsidR="00081565" w:rsidRPr="00081565">
        <w:rPr>
          <w:b/>
          <w:bCs/>
        </w:rPr>
        <w:t>Escuta Musical</w:t>
      </w:r>
      <w:r w:rsidR="00081565" w:rsidRPr="00081565">
        <w:t xml:space="preserve"> contemplou quatro eixos principais: resposta ao som, reflexão pessoal, atenção e foco, e preferências musicais, permitindo compreender sua relação funcional com os estímulos musicais a partir de vias sensoriais alternativas, especialmente </w:t>
      </w:r>
      <w:proofErr w:type="spellStart"/>
      <w:r w:rsidR="00081565" w:rsidRPr="00081565">
        <w:t>vibrotáteis</w:t>
      </w:r>
      <w:proofErr w:type="spellEnd"/>
      <w:r w:rsidR="00081565" w:rsidRPr="00081565">
        <w:t>.</w:t>
      </w:r>
    </w:p>
    <w:p w14:paraId="09793664" w14:textId="77777777" w:rsidR="00081565" w:rsidRPr="00081565" w:rsidRDefault="00081565" w:rsidP="00081565">
      <w:pPr>
        <w:pStyle w:val="NormalWeb"/>
        <w:ind w:left="0" w:hanging="2"/>
      </w:pPr>
      <w:r w:rsidRPr="00081565">
        <w:t xml:space="preserve">No eixo </w:t>
      </w:r>
      <w:r w:rsidRPr="00081565">
        <w:rPr>
          <w:b/>
          <w:bCs/>
        </w:rPr>
        <w:t>Resposta ao som</w:t>
      </w:r>
      <w:r w:rsidRPr="00081565">
        <w:t xml:space="preserve">, Antonela apresentou pontuação baixa a moderada. Esse dado indica que sua responsividade aos estímulos ainda é inicial, ocorrendo principalmente por </w:t>
      </w:r>
      <w:proofErr w:type="spellStart"/>
      <w:r w:rsidRPr="00081565">
        <w:rPr>
          <w:rFonts w:ascii="Nirmala UI" w:hAnsi="Nirmala UI" w:cs="Nirmala UI"/>
        </w:rPr>
        <w:t>माध्यम</w:t>
      </w:r>
      <w:proofErr w:type="spellEnd"/>
      <w:r w:rsidRPr="00081565">
        <w:t xml:space="preserve"> </w:t>
      </w:r>
      <w:proofErr w:type="spellStart"/>
      <w:r w:rsidRPr="00081565">
        <w:t>vibrotátil</w:t>
      </w:r>
      <w:proofErr w:type="spellEnd"/>
      <w:r w:rsidRPr="00081565">
        <w:t xml:space="preserve"> e corporal. Observa-se que a percepção musical não se dá pela via auditiva, mas por estímulos físicos como vibração e ressonância, exigindo maior mediação terapêutica para favorecer respostas mais consistentes.</w:t>
      </w:r>
    </w:p>
    <w:p w14:paraId="0A284B7C" w14:textId="77777777" w:rsidR="00081565" w:rsidRPr="00081565" w:rsidRDefault="00081565" w:rsidP="00081565">
      <w:pPr>
        <w:pStyle w:val="NormalWeb"/>
        <w:ind w:left="0" w:hanging="2"/>
      </w:pPr>
      <w:r w:rsidRPr="00081565">
        <w:lastRenderedPageBreak/>
        <w:t xml:space="preserve">Em relação à </w:t>
      </w:r>
      <w:r w:rsidRPr="00081565">
        <w:rPr>
          <w:b/>
          <w:bCs/>
        </w:rPr>
        <w:t>Reflexão pessoal</w:t>
      </w:r>
      <w:r w:rsidRPr="00081565">
        <w:t>, não foram identificados indicadores significativos. Isso sugere que Antonela ainda não demonstra sinais claros de processamento interno dos estímulos musicais de forma observável, o que é coerente com seu quadro clínico e com o estágio atual de desenvolvimento das habilidades simbólicas e de internalização.</w:t>
      </w:r>
    </w:p>
    <w:p w14:paraId="46E48D84" w14:textId="77777777" w:rsidR="00081565" w:rsidRPr="00081565" w:rsidRDefault="00081565" w:rsidP="00081565">
      <w:pPr>
        <w:pStyle w:val="NormalWeb"/>
        <w:ind w:left="0" w:hanging="2"/>
      </w:pPr>
      <w:r w:rsidRPr="00081565">
        <w:t xml:space="preserve">No domínio de </w:t>
      </w:r>
      <w:r w:rsidRPr="00081565">
        <w:rPr>
          <w:b/>
          <w:bCs/>
        </w:rPr>
        <w:t>Atenção e foco</w:t>
      </w:r>
      <w:r w:rsidRPr="00081565">
        <w:t xml:space="preserve">, a paciente apresentou pontuação baixa. Esse resultado indica dificuldade na sustentação atencional durante as experiências </w:t>
      </w:r>
      <w:proofErr w:type="spellStart"/>
      <w:r w:rsidRPr="00081565">
        <w:t>musicoterapêuticas</w:t>
      </w:r>
      <w:proofErr w:type="spellEnd"/>
      <w:r w:rsidRPr="00081565">
        <w:t>, com tendência a oscilações no engajamento e na permanência nas atividades. Tal aspecto reforça a necessidade de intervenções mais estruturadas, previsíveis e sensorialmente acessíveis.</w:t>
      </w:r>
    </w:p>
    <w:p w14:paraId="4915E701" w14:textId="77777777" w:rsidR="00081565" w:rsidRPr="00081565" w:rsidRDefault="00081565" w:rsidP="00081565">
      <w:pPr>
        <w:pStyle w:val="NormalWeb"/>
        <w:ind w:left="0" w:hanging="2"/>
      </w:pPr>
      <w:r w:rsidRPr="00081565">
        <w:t xml:space="preserve">Quanto às </w:t>
      </w:r>
      <w:r w:rsidRPr="00081565">
        <w:rPr>
          <w:b/>
          <w:bCs/>
        </w:rPr>
        <w:t>Preferências musicais</w:t>
      </w:r>
      <w:r w:rsidRPr="00081565">
        <w:t>, Antonela apresentou pontuação elevada. Esse dado é extremamente relevante, pois demonstra que, mesmo diante da surdez, há clara responsividade seletiva a determinados estímulos — especialmente aqueles que envolvem vibração, ritmo e previsibilidade sensorial. Esse é um importante ponto de acesso terapêutico.</w:t>
      </w:r>
    </w:p>
    <w:p w14:paraId="684BFA56" w14:textId="77777777" w:rsidR="00081565" w:rsidRPr="00081565" w:rsidRDefault="00081565" w:rsidP="00081565">
      <w:pPr>
        <w:pStyle w:val="NormalWeb"/>
        <w:ind w:left="0" w:hanging="2"/>
      </w:pPr>
      <w:r w:rsidRPr="00081565">
        <w:t>De modo geral, o perfil de Antonela na Escuta Musical revela um funcionamento ainda inicial nos aspectos de resposta, atenção e elaboração interna, contrastando com uma forte presença de preferências sensoriais bem definidas. Esse padrão indica que o vínculo com a música já está estabelecido em nível sensorial, porém ainda em processo de organização funcional e comunicativa.</w:t>
      </w:r>
    </w:p>
    <w:p w14:paraId="45CFA170" w14:textId="77777777" w:rsidR="00081565" w:rsidRPr="00081565" w:rsidRDefault="00081565" w:rsidP="00081565">
      <w:pPr>
        <w:pStyle w:val="NormalWeb"/>
        <w:ind w:left="0" w:hanging="2"/>
      </w:pPr>
      <w:r w:rsidRPr="00081565">
        <w:t xml:space="preserve">Diante desses achados, recomenda-se a continuidade de intervenções centradas em estímulos </w:t>
      </w:r>
      <w:proofErr w:type="spellStart"/>
      <w:r w:rsidRPr="00081565">
        <w:t>vibrotáteis</w:t>
      </w:r>
      <w:proofErr w:type="spellEnd"/>
      <w:r w:rsidRPr="00081565">
        <w:t xml:space="preserve"> claros, com uso de ritmos marcados, repetição e previsibilidade. Estratégias que integrem corpo, movimento e contato com superfícies vibratórias tendem a favorecer o aumento da atenção, da responsividade e da organização interna da experiência musical.</w:t>
      </w:r>
    </w:p>
    <w:p w14:paraId="49712A9E" w14:textId="77777777" w:rsidR="00081565" w:rsidRPr="00081565" w:rsidRDefault="00081565" w:rsidP="00081565">
      <w:pPr>
        <w:pStyle w:val="NormalWeb"/>
        <w:ind w:left="0" w:hanging="2"/>
      </w:pPr>
      <w:r w:rsidRPr="00081565">
        <w:t>A musicoterapia, nesse contexto, se configura como um importante recurso de mediação sensorial e relacional, contribuindo para o desenvolvimento gradual da comunicação não verbal, da regulação e do engajamento da paciente com o ambiente.</w:t>
      </w:r>
    </w:p>
    <w:p w14:paraId="1955ECA7" w14:textId="157CBC94" w:rsidR="001145DB" w:rsidRPr="001145DB" w:rsidRDefault="001145DB" w:rsidP="00081565">
      <w:pPr>
        <w:pStyle w:val="NormalWeb"/>
        <w:ind w:left="0" w:hanging="2"/>
        <w:rPr>
          <w:rFonts w:ascii="Arial" w:eastAsia="Times New Roman" w:hAnsi="Arial" w:cs="Arial"/>
          <w:position w:val="0"/>
        </w:rPr>
      </w:pPr>
    </w:p>
    <w:p w14:paraId="3514E170" w14:textId="3A60F31D" w:rsidR="2C39C351" w:rsidRDefault="2C39C351" w:rsidP="1F85A3C0">
      <w:pPr>
        <w:spacing w:after="0"/>
        <w:ind w:left="0" w:hanging="2"/>
        <w:jc w:val="both"/>
        <w:rPr>
          <w:rFonts w:ascii="Arial" w:eastAsia="Arial" w:hAnsi="Arial" w:cs="Arial"/>
          <w:color w:val="000000" w:themeColor="text1"/>
          <w:sz w:val="24"/>
          <w:szCs w:val="24"/>
          <w:highlight w:val="yellow"/>
        </w:rPr>
      </w:pPr>
    </w:p>
    <w:p w14:paraId="389FE31A" w14:textId="1D6F1EF4" w:rsidR="2C39C351" w:rsidRDefault="2C39C351" w:rsidP="2C39C351">
      <w:pPr>
        <w:spacing w:after="0"/>
        <w:ind w:left="0" w:hanging="2"/>
      </w:pPr>
      <w:r w:rsidRPr="2C39C351">
        <w:rPr>
          <w:rFonts w:ascii="Arial" w:eastAsia="Arial" w:hAnsi="Arial" w:cs="Arial"/>
          <w:b/>
          <w:bCs/>
          <w:color w:val="000000" w:themeColor="text1"/>
          <w:sz w:val="24"/>
          <w:szCs w:val="24"/>
        </w:rPr>
        <w:t xml:space="preserve">Objetivos e metas </w:t>
      </w:r>
      <w:proofErr w:type="gramStart"/>
      <w:r w:rsidRPr="2C39C351">
        <w:rPr>
          <w:rFonts w:ascii="Arial" w:eastAsia="Arial" w:hAnsi="Arial" w:cs="Arial"/>
          <w:b/>
          <w:bCs/>
          <w:color w:val="000000" w:themeColor="text1"/>
          <w:sz w:val="24"/>
          <w:szCs w:val="24"/>
        </w:rPr>
        <w:t>terapêuticas  (</w:t>
      </w:r>
      <w:proofErr w:type="gramEnd"/>
      <w:r w:rsidRPr="2C39C351">
        <w:rPr>
          <w:rFonts w:ascii="Arial" w:eastAsia="Arial" w:hAnsi="Arial" w:cs="Arial"/>
          <w:b/>
          <w:bCs/>
          <w:color w:val="000000" w:themeColor="text1"/>
          <w:sz w:val="24"/>
          <w:szCs w:val="24"/>
        </w:rPr>
        <w:t>SMART):</w:t>
      </w:r>
    </w:p>
    <w:p w14:paraId="488FECBE" w14:textId="377B5A20" w:rsidR="2C39C351" w:rsidRDefault="2C39C351" w:rsidP="2C39C351">
      <w:pPr>
        <w:pStyle w:val="PargrafodaLista"/>
        <w:numPr>
          <w:ilvl w:val="0"/>
          <w:numId w:val="1"/>
        </w:numPr>
        <w:ind w:left="0" w:hanging="2"/>
        <w:jc w:val="both"/>
        <w:rPr>
          <w:rFonts w:eastAsia="Arial"/>
          <w:color w:val="000000" w:themeColor="text1"/>
          <w:sz w:val="24"/>
          <w:szCs w:val="24"/>
        </w:rPr>
      </w:pPr>
      <w:r w:rsidRPr="2C39C351">
        <w:rPr>
          <w:rFonts w:eastAsia="Arial"/>
          <w:color w:val="000000" w:themeColor="text1"/>
          <w:sz w:val="24"/>
          <w:szCs w:val="24"/>
        </w:rPr>
        <w:t xml:space="preserve">Curto Prazo (3 meses) - </w:t>
      </w:r>
    </w:p>
    <w:p w14:paraId="36F795C4" w14:textId="03AFFCF3" w:rsidR="2C39C351" w:rsidRDefault="2C39C351" w:rsidP="2C39C351">
      <w:pPr>
        <w:pStyle w:val="PargrafodaLista"/>
        <w:numPr>
          <w:ilvl w:val="0"/>
          <w:numId w:val="1"/>
        </w:numPr>
        <w:ind w:left="0" w:hanging="2"/>
        <w:jc w:val="both"/>
        <w:rPr>
          <w:rFonts w:eastAsia="Arial"/>
          <w:color w:val="000000" w:themeColor="text1"/>
          <w:sz w:val="24"/>
          <w:szCs w:val="24"/>
        </w:rPr>
      </w:pPr>
      <w:r w:rsidRPr="2C39C351">
        <w:rPr>
          <w:rFonts w:eastAsia="Arial"/>
          <w:color w:val="000000" w:themeColor="text1"/>
          <w:sz w:val="24"/>
          <w:szCs w:val="24"/>
        </w:rPr>
        <w:t xml:space="preserve">Longo Prazo (6 meses) - </w:t>
      </w:r>
    </w:p>
    <w:p w14:paraId="404F13CB" w14:textId="3ACBCB81" w:rsidR="2C39C351" w:rsidRDefault="2C39C351" w:rsidP="2C39C351">
      <w:pPr>
        <w:spacing w:after="0"/>
        <w:ind w:left="0" w:hanging="2"/>
      </w:pPr>
      <w:r>
        <w:br/>
      </w:r>
      <w:r>
        <w:tab/>
      </w:r>
      <w:r w:rsidRPr="2C39C351">
        <w:rPr>
          <w:rFonts w:ascii="Arial" w:eastAsia="Arial" w:hAnsi="Arial" w:cs="Arial"/>
          <w:b/>
          <w:bCs/>
          <w:color w:val="000000" w:themeColor="text1"/>
          <w:sz w:val="24"/>
          <w:szCs w:val="24"/>
        </w:rPr>
        <w:t>GAS/SMART</w:t>
      </w:r>
    </w:p>
    <w:p w14:paraId="5A92C207" w14:textId="52DB852B" w:rsidR="1F85A3C0" w:rsidRDefault="1F85A3C0" w:rsidP="1F85A3C0">
      <w:pPr>
        <w:spacing w:after="0"/>
        <w:ind w:left="0" w:hanging="2"/>
        <w:rPr>
          <w:color w:val="000000" w:themeColor="text1"/>
        </w:rPr>
      </w:pPr>
    </w:p>
    <w:p w14:paraId="15E100CD" w14:textId="5A5FB63F" w:rsidR="2C39C351" w:rsidRDefault="1F85A3C0" w:rsidP="1F85A3C0">
      <w:pPr>
        <w:spacing w:after="0"/>
        <w:ind w:left="0" w:hanging="2"/>
      </w:pPr>
      <w:r w:rsidRPr="1F85A3C0">
        <w:rPr>
          <w:color w:val="000000" w:themeColor="text1"/>
        </w:rPr>
        <w:t>META 01:</w:t>
      </w:r>
      <w:r w:rsidR="00081565">
        <w:rPr>
          <w:color w:val="000000" w:themeColor="text1"/>
        </w:rPr>
        <w:t xml:space="preserve"> Contato Visual</w:t>
      </w:r>
    </w:p>
    <w:tbl>
      <w:tblPr>
        <w:tblW w:w="0" w:type="auto"/>
        <w:tblLayout w:type="fixed"/>
        <w:tblLook w:val="06A0" w:firstRow="1" w:lastRow="0" w:firstColumn="1" w:lastColumn="0" w:noHBand="1" w:noVBand="1"/>
      </w:tblPr>
      <w:tblGrid>
        <w:gridCol w:w="930"/>
        <w:gridCol w:w="6040"/>
        <w:gridCol w:w="3485"/>
      </w:tblGrid>
      <w:tr w:rsidR="2C39C351" w14:paraId="64C8299A" w14:textId="77777777" w:rsidTr="2C39C351">
        <w:trPr>
          <w:trHeight w:val="345"/>
        </w:trPr>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0D97667" w14:textId="3EB381CB" w:rsidR="2C39C351" w:rsidRDefault="2C39C351" w:rsidP="2C39C351">
            <w:pPr>
              <w:spacing w:after="0"/>
              <w:ind w:left="0" w:hanging="2"/>
            </w:pPr>
            <w:r w:rsidRPr="2C39C351">
              <w:rPr>
                <w:b/>
                <w:bCs/>
                <w:color w:val="000000" w:themeColor="text1"/>
              </w:rPr>
              <w:t>Escore</w:t>
            </w:r>
          </w:p>
        </w:tc>
        <w:tc>
          <w:tcPr>
            <w:tcW w:w="952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vAlign w:val="center"/>
          </w:tcPr>
          <w:p w14:paraId="214D04A4" w14:textId="2CDB58D8" w:rsidR="2C39C351" w:rsidRDefault="2C39C351" w:rsidP="2C39C351">
            <w:pPr>
              <w:spacing w:after="0"/>
              <w:ind w:left="0" w:hanging="2"/>
              <w:jc w:val="center"/>
            </w:pPr>
            <w:r w:rsidRPr="2C39C351">
              <w:rPr>
                <w:b/>
                <w:bCs/>
                <w:color w:val="000000" w:themeColor="text1"/>
              </w:rPr>
              <w:t>Metas previstas</w:t>
            </w:r>
          </w:p>
        </w:tc>
      </w:tr>
      <w:tr w:rsidR="2C39C351" w14:paraId="6300C824" w14:textId="77777777" w:rsidTr="2C39C351">
        <w:trPr>
          <w:trHeight w:val="345"/>
        </w:trPr>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4892E69" w14:textId="53420475" w:rsidR="2C39C351" w:rsidRDefault="2C39C351" w:rsidP="2C39C351">
            <w:pPr>
              <w:spacing w:after="0"/>
              <w:ind w:left="0" w:hanging="2"/>
              <w:jc w:val="center"/>
            </w:pPr>
            <w:r w:rsidRPr="2C39C351">
              <w:rPr>
                <w:color w:val="000000" w:themeColor="text1"/>
              </w:rPr>
              <w:t>-2</w:t>
            </w:r>
          </w:p>
        </w:tc>
        <w:tc>
          <w:tcPr>
            <w:tcW w:w="6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2ECFDD" w14:textId="08BEEE36" w:rsidR="2C39C351" w:rsidRDefault="2C39C351" w:rsidP="2C39C351">
            <w:pPr>
              <w:spacing w:after="0"/>
              <w:ind w:left="0" w:hanging="2"/>
            </w:pPr>
            <w:r w:rsidRPr="2C39C351">
              <w:rPr>
                <w:b/>
                <w:bCs/>
                <w:color w:val="000000" w:themeColor="text1"/>
              </w:rPr>
              <w:t>Estado atual</w:t>
            </w:r>
          </w:p>
        </w:tc>
        <w:tc>
          <w:tcPr>
            <w:tcW w:w="3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1357CC1" w14:textId="052C73AF" w:rsidR="2C39C351" w:rsidRDefault="00081565" w:rsidP="2C39C351">
            <w:pPr>
              <w:spacing w:after="0"/>
              <w:ind w:left="0" w:hanging="2"/>
            </w:pPr>
            <w:r>
              <w:t>Não rastreia fonte sonora</w:t>
            </w:r>
          </w:p>
        </w:tc>
      </w:tr>
      <w:tr w:rsidR="2C39C351" w14:paraId="2684CE43" w14:textId="77777777" w:rsidTr="2C39C351">
        <w:trPr>
          <w:trHeight w:val="345"/>
        </w:trPr>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271DD9F" w14:textId="166C27BC" w:rsidR="2C39C351" w:rsidRDefault="2C39C351" w:rsidP="2C39C351">
            <w:pPr>
              <w:spacing w:after="0"/>
              <w:ind w:left="0" w:hanging="2"/>
              <w:jc w:val="center"/>
            </w:pPr>
            <w:r w:rsidRPr="2C39C351">
              <w:rPr>
                <w:color w:val="000000" w:themeColor="text1"/>
              </w:rPr>
              <w:t>-1</w:t>
            </w:r>
          </w:p>
        </w:tc>
        <w:tc>
          <w:tcPr>
            <w:tcW w:w="6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149368B" w14:textId="3C491ED9" w:rsidR="2C39C351" w:rsidRDefault="2C39C351" w:rsidP="2C39C351">
            <w:pPr>
              <w:spacing w:after="0"/>
              <w:ind w:left="0" w:hanging="2"/>
            </w:pPr>
            <w:r w:rsidRPr="2C39C351">
              <w:rPr>
                <w:color w:val="000000" w:themeColor="text1"/>
              </w:rPr>
              <w:t>Abaixo do esperado</w:t>
            </w:r>
          </w:p>
        </w:tc>
        <w:tc>
          <w:tcPr>
            <w:tcW w:w="3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71D3FFE" w14:textId="16588DCB" w:rsidR="2C39C351" w:rsidRDefault="00081565" w:rsidP="2C39C351">
            <w:pPr>
              <w:spacing w:after="0"/>
              <w:ind w:left="0" w:hanging="2"/>
            </w:pPr>
            <w:r>
              <w:t>Não perceber fonte sonora</w:t>
            </w:r>
          </w:p>
        </w:tc>
      </w:tr>
      <w:tr w:rsidR="2C39C351" w14:paraId="3BBB79FD" w14:textId="77777777" w:rsidTr="2C39C351">
        <w:trPr>
          <w:trHeight w:val="345"/>
        </w:trPr>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24B02FB" w14:textId="5C782225" w:rsidR="2C39C351" w:rsidRDefault="2C39C351" w:rsidP="2C39C351">
            <w:pPr>
              <w:spacing w:after="0"/>
              <w:ind w:left="0" w:hanging="2"/>
              <w:jc w:val="center"/>
            </w:pPr>
            <w:r w:rsidRPr="2C39C351">
              <w:rPr>
                <w:color w:val="000000" w:themeColor="text1"/>
              </w:rPr>
              <w:t xml:space="preserve">  0</w:t>
            </w:r>
          </w:p>
        </w:tc>
        <w:tc>
          <w:tcPr>
            <w:tcW w:w="6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39E7BE8" w14:textId="49B22A97" w:rsidR="2C39C351" w:rsidRDefault="2C39C351" w:rsidP="2C39C351">
            <w:pPr>
              <w:spacing w:after="0"/>
              <w:ind w:left="0" w:hanging="2"/>
            </w:pPr>
            <w:r w:rsidRPr="2C39C351">
              <w:rPr>
                <w:b/>
                <w:bCs/>
                <w:color w:val="000000" w:themeColor="text1"/>
              </w:rPr>
              <w:t>Desfecho esperado após intervenção</w:t>
            </w:r>
          </w:p>
        </w:tc>
        <w:tc>
          <w:tcPr>
            <w:tcW w:w="3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F73DA6E" w14:textId="7D715E05" w:rsidR="2C39C351" w:rsidRDefault="00081565" w:rsidP="2C39C351">
            <w:pPr>
              <w:spacing w:after="0"/>
              <w:ind w:left="0" w:hanging="2"/>
            </w:pPr>
            <w:r>
              <w:t xml:space="preserve">Olhar para a fonte sonora </w:t>
            </w:r>
          </w:p>
        </w:tc>
      </w:tr>
      <w:tr w:rsidR="2C39C351" w14:paraId="47252CB4" w14:textId="77777777" w:rsidTr="2C39C351">
        <w:trPr>
          <w:trHeight w:val="345"/>
        </w:trPr>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758FFF9" w14:textId="31D57D76" w:rsidR="2C39C351" w:rsidRDefault="2C39C351" w:rsidP="2C39C351">
            <w:pPr>
              <w:spacing w:after="0"/>
              <w:ind w:left="0" w:hanging="2"/>
              <w:jc w:val="center"/>
            </w:pPr>
            <w:r w:rsidRPr="2C39C351">
              <w:rPr>
                <w:color w:val="000000" w:themeColor="text1"/>
              </w:rPr>
              <w:t>+1</w:t>
            </w:r>
          </w:p>
        </w:tc>
        <w:tc>
          <w:tcPr>
            <w:tcW w:w="6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B6C8D24" w14:textId="0584A981" w:rsidR="2C39C351" w:rsidRDefault="2C39C351" w:rsidP="2C39C351">
            <w:pPr>
              <w:spacing w:after="0"/>
              <w:ind w:left="0" w:hanging="2"/>
            </w:pPr>
            <w:r w:rsidRPr="2C39C351">
              <w:rPr>
                <w:color w:val="000000" w:themeColor="text1"/>
              </w:rPr>
              <w:t>Acima do esperado</w:t>
            </w:r>
          </w:p>
        </w:tc>
        <w:tc>
          <w:tcPr>
            <w:tcW w:w="3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12DF725F" w14:textId="127E442F" w:rsidR="2C39C351" w:rsidRDefault="00081565" w:rsidP="2C39C351">
            <w:pPr>
              <w:spacing w:after="0"/>
              <w:ind w:left="0" w:hanging="2"/>
            </w:pPr>
            <w:r>
              <w:t>Olhar e esboçar reação</w:t>
            </w:r>
          </w:p>
        </w:tc>
      </w:tr>
      <w:tr w:rsidR="2C39C351" w14:paraId="0CC0E3E1" w14:textId="77777777" w:rsidTr="2C39C351">
        <w:trPr>
          <w:trHeight w:val="345"/>
        </w:trPr>
        <w:tc>
          <w:tcPr>
            <w:tcW w:w="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647AE0C" w14:textId="277AD3B7" w:rsidR="2C39C351" w:rsidRDefault="2C39C351" w:rsidP="2C39C351">
            <w:pPr>
              <w:spacing w:after="0"/>
              <w:ind w:left="0" w:hanging="2"/>
              <w:jc w:val="center"/>
            </w:pPr>
            <w:r w:rsidRPr="2C39C351">
              <w:rPr>
                <w:color w:val="000000" w:themeColor="text1"/>
              </w:rPr>
              <w:t>+2</w:t>
            </w:r>
          </w:p>
        </w:tc>
        <w:tc>
          <w:tcPr>
            <w:tcW w:w="6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C7B5664" w14:textId="771FE7B7" w:rsidR="2C39C351" w:rsidRDefault="2C39C351" w:rsidP="2C39C351">
            <w:pPr>
              <w:spacing w:after="0"/>
              <w:ind w:left="0" w:hanging="2"/>
            </w:pPr>
            <w:r w:rsidRPr="2C39C351">
              <w:rPr>
                <w:color w:val="000000" w:themeColor="text1"/>
              </w:rPr>
              <w:t>Muito acima do esperado</w:t>
            </w:r>
          </w:p>
        </w:tc>
        <w:tc>
          <w:tcPr>
            <w:tcW w:w="3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BC70DB" w14:textId="7E372356" w:rsidR="2C39C351" w:rsidRDefault="00081565" w:rsidP="2C39C351">
            <w:pPr>
              <w:spacing w:after="0"/>
              <w:ind w:left="0" w:hanging="2"/>
            </w:pPr>
            <w:r>
              <w:t>Interagir com a fonte sonora</w:t>
            </w:r>
          </w:p>
        </w:tc>
      </w:tr>
    </w:tbl>
    <w:p w14:paraId="627EE5FE" w14:textId="2BF9670E" w:rsidR="2C39C351" w:rsidRDefault="2C39C351" w:rsidP="2C39C351">
      <w:pPr>
        <w:spacing w:after="0"/>
        <w:ind w:left="0" w:hanging="2"/>
      </w:pPr>
      <w:r w:rsidRPr="2C39C351">
        <w:rPr>
          <w:b/>
          <w:bCs/>
          <w:color w:val="000000" w:themeColor="text1"/>
        </w:rPr>
        <w:t>Plano terapêutico e prescrição:</w:t>
      </w:r>
    </w:p>
    <w:p w14:paraId="5A4AC16B" w14:textId="62BE0F74" w:rsidR="2C39C351" w:rsidRDefault="2C39C351" w:rsidP="2C39C351">
      <w:pPr>
        <w:spacing w:after="0"/>
        <w:ind w:left="0" w:hanging="2"/>
      </w:pPr>
      <w:r w:rsidRPr="2C39C351">
        <w:rPr>
          <w:i/>
          <w:iCs/>
          <w:color w:val="000000" w:themeColor="text1"/>
        </w:rPr>
        <w:t>Incluindo intensidade, frequência, duração e participantes da equipe interdisciplinar</w:t>
      </w:r>
    </w:p>
    <w:p w14:paraId="4CC6E070" w14:textId="4A7161A7" w:rsidR="2C39C351" w:rsidRDefault="2C39C351" w:rsidP="1F85A3C0">
      <w:pPr>
        <w:spacing w:after="0"/>
        <w:ind w:left="0" w:hanging="2"/>
      </w:pPr>
      <w:r>
        <w:lastRenderedPageBreak/>
        <w:br/>
      </w:r>
      <w:r>
        <w:br/>
      </w:r>
      <w:r w:rsidR="1F85A3C0" w:rsidRPr="1F85A3C0">
        <w:rPr>
          <w:b/>
          <w:bCs/>
          <w:color w:val="000000" w:themeColor="text1"/>
        </w:rPr>
        <w:t>Conduta:</w:t>
      </w:r>
    </w:p>
    <w:p w14:paraId="3343DEFC" w14:textId="4D20E47F" w:rsidR="73EF8AAA" w:rsidRDefault="1F85A3C0" w:rsidP="1F85A3C0">
      <w:pPr>
        <w:spacing w:before="240" w:after="0"/>
        <w:ind w:left="0" w:hanging="2"/>
        <w:jc w:val="center"/>
      </w:pPr>
      <w:r w:rsidRPr="1F85A3C0">
        <w:rPr>
          <w:color w:val="000000" w:themeColor="text1"/>
          <w:sz w:val="24"/>
          <w:szCs w:val="24"/>
        </w:rPr>
        <w:t xml:space="preserve">                                                                                                            Cidade, mês e ano</w:t>
      </w:r>
    </w:p>
    <w:p w14:paraId="0FFAF0F9" w14:textId="21C8C8E6" w:rsidR="2C39C351" w:rsidRDefault="2C39C351" w:rsidP="1F85A3C0">
      <w:pPr>
        <w:spacing w:after="0"/>
        <w:ind w:left="0" w:hanging="2"/>
      </w:pPr>
      <w:r>
        <w:br/>
      </w:r>
    </w:p>
    <w:p w14:paraId="6E902B3C" w14:textId="14F1BBC2" w:rsidR="2C39C351" w:rsidRDefault="73EF8AAA" w:rsidP="2C39C351">
      <w:pPr>
        <w:spacing w:after="0"/>
        <w:ind w:left="0" w:hanging="2"/>
        <w:jc w:val="center"/>
      </w:pPr>
      <w:r w:rsidRPr="73EF8AAA">
        <w:rPr>
          <w:color w:val="000000" w:themeColor="text1"/>
          <w:sz w:val="24"/>
          <w:szCs w:val="24"/>
          <w:u w:val="single"/>
        </w:rPr>
        <w:t>__________________________________</w:t>
      </w:r>
    </w:p>
    <w:p w14:paraId="729F7BA0" w14:textId="5DD89FBB" w:rsidR="73EF8AAA" w:rsidRDefault="0084281C" w:rsidP="73EF8AAA">
      <w:pPr>
        <w:spacing w:after="0"/>
        <w:ind w:left="0" w:hanging="2"/>
        <w:jc w:val="center"/>
      </w:pPr>
      <w:r>
        <w:rPr>
          <w:color w:val="000000" w:themeColor="text1"/>
          <w:sz w:val="24"/>
          <w:szCs w:val="24"/>
        </w:rPr>
        <w:t>Matheus Rocha Silva</w:t>
      </w:r>
    </w:p>
    <w:p w14:paraId="01F18124" w14:textId="41180C56" w:rsidR="2C39C351" w:rsidRDefault="2C39C351" w:rsidP="2C39C351">
      <w:pPr>
        <w:spacing w:after="0"/>
        <w:ind w:left="0" w:hanging="2"/>
        <w:jc w:val="center"/>
      </w:pPr>
      <w:r w:rsidRPr="2C39C351">
        <w:rPr>
          <w:color w:val="000000" w:themeColor="text1"/>
          <w:sz w:val="24"/>
          <w:szCs w:val="24"/>
        </w:rPr>
        <w:t>MUSICOTERAPEUTA</w:t>
      </w:r>
    </w:p>
    <w:p w14:paraId="1208D3D2" w14:textId="05EA885E" w:rsidR="2C39C351" w:rsidRDefault="00022B94" w:rsidP="2C39C351">
      <w:pPr>
        <w:spacing w:after="0"/>
        <w:ind w:left="0" w:hanging="2"/>
        <w:jc w:val="center"/>
      </w:pPr>
      <w:r>
        <w:rPr>
          <w:color w:val="000000" w:themeColor="text1"/>
          <w:sz w:val="24"/>
          <w:szCs w:val="24"/>
        </w:rPr>
        <w:t>APEMESP 1-230451</w:t>
      </w:r>
    </w:p>
    <w:p w14:paraId="4D7666CD" w14:textId="2A6BA975" w:rsidR="2C39C351" w:rsidRDefault="2C39C351" w:rsidP="1F85A3C0">
      <w:pPr>
        <w:spacing w:after="0"/>
        <w:ind w:left="0" w:hanging="2"/>
      </w:pPr>
      <w:r>
        <w:br/>
      </w:r>
    </w:p>
    <w:p w14:paraId="34820736" w14:textId="13F308D4" w:rsidR="2C39C351" w:rsidRDefault="2C39C351" w:rsidP="2C39C351">
      <w:pPr>
        <w:spacing w:after="0"/>
        <w:ind w:left="0" w:hanging="2"/>
        <w:jc w:val="both"/>
      </w:pPr>
      <w:r w:rsidRPr="2C39C351">
        <w:rPr>
          <w:rFonts w:ascii="Arial" w:eastAsia="Arial" w:hAnsi="Arial" w:cs="Arial"/>
          <w:b/>
          <w:bCs/>
          <w:color w:val="000000" w:themeColor="text1"/>
          <w:sz w:val="24"/>
          <w:szCs w:val="24"/>
        </w:rPr>
        <w:t xml:space="preserve">Referências  </w:t>
      </w:r>
    </w:p>
    <w:p w14:paraId="090D757D" w14:textId="61D630BF" w:rsidR="00022B94" w:rsidRPr="00022B94" w:rsidRDefault="00022B94" w:rsidP="00022B94">
      <w:pPr>
        <w:pStyle w:val="PargrafodaLista"/>
        <w:numPr>
          <w:ilvl w:val="0"/>
          <w:numId w:val="1"/>
        </w:numPr>
        <w:suppressAutoHyphens w:val="0"/>
        <w:spacing w:before="100" w:beforeAutospacing="1" w:after="100" w:afterAutospacing="1"/>
        <w:ind w:leftChars="0" w:firstLineChars="0"/>
        <w:textDirection w:val="lrTb"/>
        <w:textAlignment w:val="auto"/>
        <w:outlineLvl w:val="9"/>
        <w:rPr>
          <w:position w:val="0"/>
          <w:sz w:val="24"/>
          <w:szCs w:val="24"/>
        </w:rPr>
      </w:pPr>
      <w:proofErr w:type="spellStart"/>
      <w:r w:rsidRPr="00022B94">
        <w:rPr>
          <w:position w:val="0"/>
          <w:sz w:val="24"/>
          <w:szCs w:val="24"/>
        </w:rPr>
        <w:t>Nordoff</w:t>
      </w:r>
      <w:proofErr w:type="spellEnd"/>
      <w:r w:rsidRPr="00022B94">
        <w:rPr>
          <w:position w:val="0"/>
          <w:sz w:val="24"/>
          <w:szCs w:val="24"/>
        </w:rPr>
        <w:t xml:space="preserve">, P., &amp; Robbins, C. (2007). </w:t>
      </w:r>
      <w:proofErr w:type="spellStart"/>
      <w:r w:rsidRPr="00022B94">
        <w:rPr>
          <w:i/>
          <w:iCs/>
          <w:position w:val="0"/>
          <w:sz w:val="24"/>
          <w:szCs w:val="24"/>
        </w:rPr>
        <w:t>Creative</w:t>
      </w:r>
      <w:proofErr w:type="spellEnd"/>
      <w:r w:rsidRPr="00022B94">
        <w:rPr>
          <w:i/>
          <w:iCs/>
          <w:position w:val="0"/>
          <w:sz w:val="24"/>
          <w:szCs w:val="24"/>
        </w:rPr>
        <w:t xml:space="preserve"> Music </w:t>
      </w:r>
      <w:proofErr w:type="spellStart"/>
      <w:r w:rsidRPr="00022B94">
        <w:rPr>
          <w:i/>
          <w:iCs/>
          <w:position w:val="0"/>
          <w:sz w:val="24"/>
          <w:szCs w:val="24"/>
        </w:rPr>
        <w:t>Therapy</w:t>
      </w:r>
      <w:proofErr w:type="spellEnd"/>
      <w:r w:rsidRPr="00022B94">
        <w:rPr>
          <w:position w:val="0"/>
          <w:sz w:val="24"/>
          <w:szCs w:val="24"/>
        </w:rPr>
        <w:t xml:space="preserve">. </w:t>
      </w:r>
      <w:proofErr w:type="spellStart"/>
      <w:r w:rsidRPr="00022B94">
        <w:rPr>
          <w:position w:val="0"/>
          <w:sz w:val="24"/>
          <w:szCs w:val="24"/>
        </w:rPr>
        <w:t>Gilsum</w:t>
      </w:r>
      <w:proofErr w:type="spellEnd"/>
      <w:r w:rsidRPr="00022B94">
        <w:rPr>
          <w:position w:val="0"/>
          <w:sz w:val="24"/>
          <w:szCs w:val="24"/>
        </w:rPr>
        <w:t xml:space="preserve">: Barcelona </w:t>
      </w:r>
      <w:proofErr w:type="spellStart"/>
      <w:r w:rsidRPr="00022B94">
        <w:rPr>
          <w:position w:val="0"/>
          <w:sz w:val="24"/>
          <w:szCs w:val="24"/>
        </w:rPr>
        <w:t>Publishers</w:t>
      </w:r>
      <w:proofErr w:type="spellEnd"/>
      <w:r w:rsidRPr="00022B94">
        <w:rPr>
          <w:position w:val="0"/>
          <w:sz w:val="24"/>
          <w:szCs w:val="24"/>
        </w:rPr>
        <w:t>.</w:t>
      </w:r>
    </w:p>
    <w:p w14:paraId="6460ED7C" w14:textId="1A0A3E50" w:rsidR="00022B94" w:rsidRPr="00022B94" w:rsidRDefault="00022B94" w:rsidP="00022B94">
      <w:pPr>
        <w:pStyle w:val="PargrafodaLista"/>
        <w:numPr>
          <w:ilvl w:val="0"/>
          <w:numId w:val="1"/>
        </w:numPr>
        <w:suppressAutoHyphens w:val="0"/>
        <w:spacing w:before="100" w:beforeAutospacing="1" w:after="100" w:afterAutospacing="1"/>
        <w:ind w:leftChars="0" w:firstLineChars="0"/>
        <w:textDirection w:val="lrTb"/>
        <w:textAlignment w:val="auto"/>
        <w:outlineLvl w:val="9"/>
        <w:rPr>
          <w:position w:val="0"/>
          <w:sz w:val="24"/>
          <w:szCs w:val="24"/>
        </w:rPr>
      </w:pPr>
      <w:proofErr w:type="spellStart"/>
      <w:r w:rsidRPr="00022B94">
        <w:rPr>
          <w:position w:val="0"/>
          <w:sz w:val="24"/>
          <w:szCs w:val="24"/>
        </w:rPr>
        <w:t>Bruscia</w:t>
      </w:r>
      <w:proofErr w:type="spellEnd"/>
      <w:r w:rsidRPr="00022B94">
        <w:rPr>
          <w:position w:val="0"/>
          <w:sz w:val="24"/>
          <w:szCs w:val="24"/>
        </w:rPr>
        <w:t xml:space="preserve">, K. (1998). </w:t>
      </w:r>
      <w:proofErr w:type="spellStart"/>
      <w:r w:rsidRPr="00022B94">
        <w:rPr>
          <w:i/>
          <w:iCs/>
          <w:position w:val="0"/>
          <w:sz w:val="24"/>
          <w:szCs w:val="24"/>
        </w:rPr>
        <w:t>Defining</w:t>
      </w:r>
      <w:proofErr w:type="spellEnd"/>
      <w:r w:rsidRPr="00022B94">
        <w:rPr>
          <w:i/>
          <w:iCs/>
          <w:position w:val="0"/>
          <w:sz w:val="24"/>
          <w:szCs w:val="24"/>
        </w:rPr>
        <w:t xml:space="preserve"> Music </w:t>
      </w:r>
      <w:proofErr w:type="spellStart"/>
      <w:r w:rsidRPr="00022B94">
        <w:rPr>
          <w:i/>
          <w:iCs/>
          <w:position w:val="0"/>
          <w:sz w:val="24"/>
          <w:szCs w:val="24"/>
        </w:rPr>
        <w:t>Therapy</w:t>
      </w:r>
      <w:proofErr w:type="spellEnd"/>
      <w:r w:rsidRPr="00022B94">
        <w:rPr>
          <w:position w:val="0"/>
          <w:sz w:val="24"/>
          <w:szCs w:val="24"/>
        </w:rPr>
        <w:t xml:space="preserve">. Barcelona </w:t>
      </w:r>
      <w:proofErr w:type="spellStart"/>
      <w:r w:rsidRPr="00022B94">
        <w:rPr>
          <w:position w:val="0"/>
          <w:sz w:val="24"/>
          <w:szCs w:val="24"/>
        </w:rPr>
        <w:t>Publishers</w:t>
      </w:r>
      <w:proofErr w:type="spellEnd"/>
      <w:r w:rsidRPr="00022B94">
        <w:rPr>
          <w:position w:val="0"/>
          <w:sz w:val="24"/>
          <w:szCs w:val="24"/>
        </w:rPr>
        <w:t>.</w:t>
      </w:r>
    </w:p>
    <w:p w14:paraId="7583AD46" w14:textId="2C04A1F5" w:rsidR="00022B94" w:rsidRPr="00022B94" w:rsidRDefault="00022B94" w:rsidP="00022B94">
      <w:pPr>
        <w:pStyle w:val="PargrafodaLista"/>
        <w:numPr>
          <w:ilvl w:val="0"/>
          <w:numId w:val="1"/>
        </w:numPr>
        <w:suppressAutoHyphens w:val="0"/>
        <w:spacing w:before="100" w:beforeAutospacing="1" w:after="100" w:afterAutospacing="1"/>
        <w:ind w:leftChars="0" w:firstLineChars="0"/>
        <w:textDirection w:val="lrTb"/>
        <w:textAlignment w:val="auto"/>
        <w:outlineLvl w:val="9"/>
        <w:rPr>
          <w:position w:val="0"/>
          <w:sz w:val="24"/>
          <w:szCs w:val="24"/>
        </w:rPr>
      </w:pPr>
      <w:proofErr w:type="spellStart"/>
      <w:r w:rsidRPr="00022B94">
        <w:rPr>
          <w:position w:val="0"/>
          <w:sz w:val="24"/>
          <w:szCs w:val="24"/>
        </w:rPr>
        <w:t>Wigram</w:t>
      </w:r>
      <w:proofErr w:type="spellEnd"/>
      <w:r w:rsidRPr="00022B94">
        <w:rPr>
          <w:position w:val="0"/>
          <w:sz w:val="24"/>
          <w:szCs w:val="24"/>
        </w:rPr>
        <w:t xml:space="preserve">, T., Pedersen, I. N., &amp; Bonde, L. O. (2002). </w:t>
      </w:r>
      <w:r w:rsidRPr="00022B94">
        <w:rPr>
          <w:i/>
          <w:iCs/>
          <w:position w:val="0"/>
          <w:sz w:val="24"/>
          <w:szCs w:val="24"/>
        </w:rPr>
        <w:t xml:space="preserve">A </w:t>
      </w:r>
      <w:proofErr w:type="spellStart"/>
      <w:r w:rsidRPr="00022B94">
        <w:rPr>
          <w:i/>
          <w:iCs/>
          <w:position w:val="0"/>
          <w:sz w:val="24"/>
          <w:szCs w:val="24"/>
        </w:rPr>
        <w:t>Comprehensive</w:t>
      </w:r>
      <w:proofErr w:type="spellEnd"/>
      <w:r w:rsidRPr="00022B94">
        <w:rPr>
          <w:i/>
          <w:iCs/>
          <w:position w:val="0"/>
          <w:sz w:val="24"/>
          <w:szCs w:val="24"/>
        </w:rPr>
        <w:t xml:space="preserve"> </w:t>
      </w:r>
      <w:proofErr w:type="spellStart"/>
      <w:r w:rsidRPr="00022B94">
        <w:rPr>
          <w:i/>
          <w:iCs/>
          <w:position w:val="0"/>
          <w:sz w:val="24"/>
          <w:szCs w:val="24"/>
        </w:rPr>
        <w:t>Guide</w:t>
      </w:r>
      <w:proofErr w:type="spellEnd"/>
      <w:r w:rsidRPr="00022B94">
        <w:rPr>
          <w:i/>
          <w:iCs/>
          <w:position w:val="0"/>
          <w:sz w:val="24"/>
          <w:szCs w:val="24"/>
        </w:rPr>
        <w:t xml:space="preserve"> </w:t>
      </w:r>
      <w:proofErr w:type="spellStart"/>
      <w:r w:rsidRPr="00022B94">
        <w:rPr>
          <w:i/>
          <w:iCs/>
          <w:position w:val="0"/>
          <w:sz w:val="24"/>
          <w:szCs w:val="24"/>
        </w:rPr>
        <w:t>to</w:t>
      </w:r>
      <w:proofErr w:type="spellEnd"/>
      <w:r w:rsidRPr="00022B94">
        <w:rPr>
          <w:i/>
          <w:iCs/>
          <w:position w:val="0"/>
          <w:sz w:val="24"/>
          <w:szCs w:val="24"/>
        </w:rPr>
        <w:t xml:space="preserve"> Music </w:t>
      </w:r>
      <w:proofErr w:type="spellStart"/>
      <w:r w:rsidRPr="00022B94">
        <w:rPr>
          <w:i/>
          <w:iCs/>
          <w:position w:val="0"/>
          <w:sz w:val="24"/>
          <w:szCs w:val="24"/>
        </w:rPr>
        <w:t>Therapy</w:t>
      </w:r>
      <w:proofErr w:type="spellEnd"/>
      <w:r w:rsidRPr="00022B94">
        <w:rPr>
          <w:position w:val="0"/>
          <w:sz w:val="24"/>
          <w:szCs w:val="24"/>
        </w:rPr>
        <w:t xml:space="preserve">. Jessica Kingsley </w:t>
      </w:r>
      <w:proofErr w:type="spellStart"/>
      <w:r w:rsidRPr="00022B94">
        <w:rPr>
          <w:position w:val="0"/>
          <w:sz w:val="24"/>
          <w:szCs w:val="24"/>
        </w:rPr>
        <w:t>Publishers</w:t>
      </w:r>
      <w:proofErr w:type="spellEnd"/>
      <w:r w:rsidRPr="00022B94">
        <w:rPr>
          <w:position w:val="0"/>
          <w:sz w:val="24"/>
          <w:szCs w:val="24"/>
        </w:rPr>
        <w:t>.</w:t>
      </w:r>
    </w:p>
    <w:p w14:paraId="0CAB8545" w14:textId="340F18DB" w:rsidR="2C39C351" w:rsidRDefault="2C39C351" w:rsidP="2C39C351">
      <w:pPr>
        <w:shd w:val="clear" w:color="auto" w:fill="FFFFFF" w:themeFill="background1"/>
        <w:spacing w:after="0"/>
        <w:ind w:left="0" w:hanging="2"/>
        <w:jc w:val="both"/>
      </w:pPr>
      <w:r>
        <w:br/>
      </w:r>
    </w:p>
    <w:p w14:paraId="086D4CFB" w14:textId="6C52F829" w:rsidR="2C39C351" w:rsidRDefault="2C39C351" w:rsidP="1F85A3C0">
      <w:pPr>
        <w:spacing w:after="0" w:line="240" w:lineRule="auto"/>
        <w:ind w:left="0" w:hanging="2"/>
      </w:pPr>
      <w:r>
        <w:br/>
      </w:r>
    </w:p>
    <w:sectPr w:rsidR="2C39C351">
      <w:headerReference w:type="default" r:id="rId10"/>
      <w:footerReference w:type="default" r:id="rId11"/>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4113D" w14:textId="77777777" w:rsidR="00792D50" w:rsidRDefault="00792D50">
      <w:pPr>
        <w:spacing w:after="0" w:line="240" w:lineRule="auto"/>
        <w:ind w:left="0" w:hanging="2"/>
      </w:pPr>
      <w:r>
        <w:separator/>
      </w:r>
    </w:p>
  </w:endnote>
  <w:endnote w:type="continuationSeparator" w:id="0">
    <w:p w14:paraId="30B3F66C" w14:textId="77777777" w:rsidR="00792D50" w:rsidRDefault="00792D50">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D6E9" w14:textId="3C81D40A" w:rsidR="001D1EDA" w:rsidRDefault="001D1EDA" w:rsidP="2C39C351">
    <w:pPr>
      <w:tabs>
        <w:tab w:val="center" w:pos="4252"/>
        <w:tab w:val="right" w:pos="8504"/>
      </w:tabs>
      <w:spacing w:before="200" w:after="280" w:line="240" w:lineRule="auto"/>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69F1" w14:textId="77777777" w:rsidR="00792D50" w:rsidRDefault="00792D50">
      <w:pPr>
        <w:spacing w:after="0" w:line="240" w:lineRule="auto"/>
        <w:ind w:left="0" w:hanging="2"/>
      </w:pPr>
      <w:r>
        <w:separator/>
      </w:r>
    </w:p>
  </w:footnote>
  <w:footnote w:type="continuationSeparator" w:id="0">
    <w:p w14:paraId="69151F4D" w14:textId="77777777" w:rsidR="00792D50" w:rsidRDefault="00792D50">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F2B2" w14:textId="443DDD0B" w:rsidR="001D1EDA" w:rsidRDefault="001D1EDA" w:rsidP="2C39C35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B2BC"/>
    <w:multiLevelType w:val="hybridMultilevel"/>
    <w:tmpl w:val="6928A6EA"/>
    <w:lvl w:ilvl="0" w:tplc="F5FA2B96">
      <w:start w:val="1"/>
      <w:numFmt w:val="decimal"/>
      <w:lvlText w:val="%1."/>
      <w:lvlJc w:val="left"/>
      <w:pPr>
        <w:ind w:left="720" w:hanging="360"/>
      </w:pPr>
    </w:lvl>
    <w:lvl w:ilvl="1" w:tplc="7968EA24">
      <w:start w:val="1"/>
      <w:numFmt w:val="lowerLetter"/>
      <w:lvlText w:val="%2."/>
      <w:lvlJc w:val="left"/>
      <w:pPr>
        <w:ind w:left="1440" w:hanging="360"/>
      </w:pPr>
    </w:lvl>
    <w:lvl w:ilvl="2" w:tplc="F5FEA7EE">
      <w:start w:val="1"/>
      <w:numFmt w:val="lowerRoman"/>
      <w:lvlText w:val="%3."/>
      <w:lvlJc w:val="right"/>
      <w:pPr>
        <w:ind w:left="2160" w:hanging="180"/>
      </w:pPr>
    </w:lvl>
    <w:lvl w:ilvl="3" w:tplc="DE201568">
      <w:start w:val="1"/>
      <w:numFmt w:val="decimal"/>
      <w:lvlText w:val="%4."/>
      <w:lvlJc w:val="left"/>
      <w:pPr>
        <w:ind w:left="2880" w:hanging="360"/>
      </w:pPr>
    </w:lvl>
    <w:lvl w:ilvl="4" w:tplc="9926B5F6">
      <w:start w:val="1"/>
      <w:numFmt w:val="lowerLetter"/>
      <w:lvlText w:val="%5."/>
      <w:lvlJc w:val="left"/>
      <w:pPr>
        <w:ind w:left="3600" w:hanging="360"/>
      </w:pPr>
    </w:lvl>
    <w:lvl w:ilvl="5" w:tplc="3B42AE08">
      <w:start w:val="1"/>
      <w:numFmt w:val="lowerRoman"/>
      <w:lvlText w:val="%6."/>
      <w:lvlJc w:val="right"/>
      <w:pPr>
        <w:ind w:left="4320" w:hanging="180"/>
      </w:pPr>
    </w:lvl>
    <w:lvl w:ilvl="6" w:tplc="F43EA054">
      <w:start w:val="1"/>
      <w:numFmt w:val="decimal"/>
      <w:lvlText w:val="%7."/>
      <w:lvlJc w:val="left"/>
      <w:pPr>
        <w:ind w:left="5040" w:hanging="360"/>
      </w:pPr>
    </w:lvl>
    <w:lvl w:ilvl="7" w:tplc="4A4CB308">
      <w:start w:val="1"/>
      <w:numFmt w:val="lowerLetter"/>
      <w:lvlText w:val="%8."/>
      <w:lvlJc w:val="left"/>
      <w:pPr>
        <w:ind w:left="5760" w:hanging="360"/>
      </w:pPr>
    </w:lvl>
    <w:lvl w:ilvl="8" w:tplc="DFE4D304">
      <w:start w:val="1"/>
      <w:numFmt w:val="lowerRoman"/>
      <w:lvlText w:val="%9."/>
      <w:lvlJc w:val="right"/>
      <w:pPr>
        <w:ind w:left="6480" w:hanging="180"/>
      </w:pPr>
    </w:lvl>
  </w:abstractNum>
  <w:abstractNum w:abstractNumId="1" w15:restartNumberingAfterBreak="0">
    <w:nsid w:val="15188FD2"/>
    <w:multiLevelType w:val="hybridMultilevel"/>
    <w:tmpl w:val="9FE233F8"/>
    <w:lvl w:ilvl="0" w:tplc="088A1A6E">
      <w:start w:val="1"/>
      <w:numFmt w:val="decimal"/>
      <w:lvlText w:val="%1."/>
      <w:lvlJc w:val="left"/>
      <w:pPr>
        <w:ind w:left="720" w:hanging="360"/>
      </w:pPr>
    </w:lvl>
    <w:lvl w:ilvl="1" w:tplc="750E0442">
      <w:start w:val="1"/>
      <w:numFmt w:val="lowerLetter"/>
      <w:lvlText w:val="%2."/>
      <w:lvlJc w:val="left"/>
      <w:pPr>
        <w:ind w:left="1440" w:hanging="360"/>
      </w:pPr>
    </w:lvl>
    <w:lvl w:ilvl="2" w:tplc="B81EDC44">
      <w:start w:val="1"/>
      <w:numFmt w:val="lowerRoman"/>
      <w:lvlText w:val="%3."/>
      <w:lvlJc w:val="right"/>
      <w:pPr>
        <w:ind w:left="2160" w:hanging="180"/>
      </w:pPr>
    </w:lvl>
    <w:lvl w:ilvl="3" w:tplc="C5CA5C76">
      <w:start w:val="1"/>
      <w:numFmt w:val="decimal"/>
      <w:lvlText w:val="%4."/>
      <w:lvlJc w:val="left"/>
      <w:pPr>
        <w:ind w:left="2880" w:hanging="360"/>
      </w:pPr>
    </w:lvl>
    <w:lvl w:ilvl="4" w:tplc="B01CA1CE">
      <w:start w:val="1"/>
      <w:numFmt w:val="lowerLetter"/>
      <w:lvlText w:val="%5."/>
      <w:lvlJc w:val="left"/>
      <w:pPr>
        <w:ind w:left="3600" w:hanging="360"/>
      </w:pPr>
    </w:lvl>
    <w:lvl w:ilvl="5" w:tplc="D7F43F52">
      <w:start w:val="1"/>
      <w:numFmt w:val="lowerRoman"/>
      <w:lvlText w:val="%6."/>
      <w:lvlJc w:val="right"/>
      <w:pPr>
        <w:ind w:left="4320" w:hanging="180"/>
      </w:pPr>
    </w:lvl>
    <w:lvl w:ilvl="6" w:tplc="B094986A">
      <w:start w:val="1"/>
      <w:numFmt w:val="decimal"/>
      <w:lvlText w:val="%7."/>
      <w:lvlJc w:val="left"/>
      <w:pPr>
        <w:ind w:left="5040" w:hanging="360"/>
      </w:pPr>
    </w:lvl>
    <w:lvl w:ilvl="7" w:tplc="B24A7624">
      <w:start w:val="1"/>
      <w:numFmt w:val="lowerLetter"/>
      <w:lvlText w:val="%8."/>
      <w:lvlJc w:val="left"/>
      <w:pPr>
        <w:ind w:left="5760" w:hanging="360"/>
      </w:pPr>
    </w:lvl>
    <w:lvl w:ilvl="8" w:tplc="BCE8C612">
      <w:start w:val="1"/>
      <w:numFmt w:val="lowerRoman"/>
      <w:lvlText w:val="%9."/>
      <w:lvlJc w:val="right"/>
      <w:pPr>
        <w:ind w:left="6480" w:hanging="180"/>
      </w:pPr>
    </w:lvl>
  </w:abstractNum>
  <w:abstractNum w:abstractNumId="2" w15:restartNumberingAfterBreak="0">
    <w:nsid w:val="579A7A09"/>
    <w:multiLevelType w:val="hybridMultilevel"/>
    <w:tmpl w:val="EB8618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595BFE76"/>
    <w:multiLevelType w:val="hybridMultilevel"/>
    <w:tmpl w:val="E0CC8200"/>
    <w:lvl w:ilvl="0" w:tplc="AC2465B4">
      <w:start w:val="2"/>
      <w:numFmt w:val="decimal"/>
      <w:lvlText w:val="%1."/>
      <w:lvlJc w:val="left"/>
      <w:pPr>
        <w:ind w:left="720" w:hanging="360"/>
      </w:pPr>
    </w:lvl>
    <w:lvl w:ilvl="1" w:tplc="32C2B840">
      <w:start w:val="1"/>
      <w:numFmt w:val="lowerLetter"/>
      <w:lvlText w:val="%2."/>
      <w:lvlJc w:val="left"/>
      <w:pPr>
        <w:ind w:left="1440" w:hanging="360"/>
      </w:pPr>
    </w:lvl>
    <w:lvl w:ilvl="2" w:tplc="1D6623DC">
      <w:start w:val="1"/>
      <w:numFmt w:val="lowerRoman"/>
      <w:lvlText w:val="%3."/>
      <w:lvlJc w:val="right"/>
      <w:pPr>
        <w:ind w:left="2160" w:hanging="180"/>
      </w:pPr>
    </w:lvl>
    <w:lvl w:ilvl="3" w:tplc="FF889B54">
      <w:start w:val="1"/>
      <w:numFmt w:val="decimal"/>
      <w:lvlText w:val="%4."/>
      <w:lvlJc w:val="left"/>
      <w:pPr>
        <w:ind w:left="2880" w:hanging="360"/>
      </w:pPr>
    </w:lvl>
    <w:lvl w:ilvl="4" w:tplc="5F54AC08">
      <w:start w:val="1"/>
      <w:numFmt w:val="lowerLetter"/>
      <w:lvlText w:val="%5."/>
      <w:lvlJc w:val="left"/>
      <w:pPr>
        <w:ind w:left="3600" w:hanging="360"/>
      </w:pPr>
    </w:lvl>
    <w:lvl w:ilvl="5" w:tplc="24E00206">
      <w:start w:val="1"/>
      <w:numFmt w:val="lowerRoman"/>
      <w:lvlText w:val="%6."/>
      <w:lvlJc w:val="right"/>
      <w:pPr>
        <w:ind w:left="4320" w:hanging="180"/>
      </w:pPr>
    </w:lvl>
    <w:lvl w:ilvl="6" w:tplc="21C4CA36">
      <w:start w:val="1"/>
      <w:numFmt w:val="decimal"/>
      <w:lvlText w:val="%7."/>
      <w:lvlJc w:val="left"/>
      <w:pPr>
        <w:ind w:left="5040" w:hanging="360"/>
      </w:pPr>
    </w:lvl>
    <w:lvl w:ilvl="7" w:tplc="38EAE9D2">
      <w:start w:val="1"/>
      <w:numFmt w:val="lowerLetter"/>
      <w:lvlText w:val="%8."/>
      <w:lvlJc w:val="left"/>
      <w:pPr>
        <w:ind w:left="5760" w:hanging="360"/>
      </w:pPr>
    </w:lvl>
    <w:lvl w:ilvl="8" w:tplc="DCC89D78">
      <w:start w:val="1"/>
      <w:numFmt w:val="lowerRoman"/>
      <w:lvlText w:val="%9."/>
      <w:lvlJc w:val="right"/>
      <w:pPr>
        <w:ind w:left="6480" w:hanging="180"/>
      </w:pPr>
    </w:lvl>
  </w:abstractNum>
  <w:abstractNum w:abstractNumId="4" w15:restartNumberingAfterBreak="0">
    <w:nsid w:val="603B9C29"/>
    <w:multiLevelType w:val="hybridMultilevel"/>
    <w:tmpl w:val="A1DA9452"/>
    <w:lvl w:ilvl="0" w:tplc="C08A0CE8">
      <w:start w:val="1"/>
      <w:numFmt w:val="bullet"/>
      <w:lvlText w:val=""/>
      <w:lvlJc w:val="left"/>
      <w:pPr>
        <w:ind w:left="720" w:hanging="360"/>
      </w:pPr>
      <w:rPr>
        <w:rFonts w:ascii="Symbol" w:hAnsi="Symbol" w:hint="default"/>
      </w:rPr>
    </w:lvl>
    <w:lvl w:ilvl="1" w:tplc="64C0B1FE">
      <w:start w:val="1"/>
      <w:numFmt w:val="bullet"/>
      <w:lvlText w:val="o"/>
      <w:lvlJc w:val="left"/>
      <w:pPr>
        <w:ind w:left="1440" w:hanging="360"/>
      </w:pPr>
      <w:rPr>
        <w:rFonts w:ascii="Courier New" w:hAnsi="Courier New" w:hint="default"/>
      </w:rPr>
    </w:lvl>
    <w:lvl w:ilvl="2" w:tplc="F714404A">
      <w:start w:val="1"/>
      <w:numFmt w:val="bullet"/>
      <w:lvlText w:val=""/>
      <w:lvlJc w:val="left"/>
      <w:pPr>
        <w:ind w:left="2160" w:hanging="360"/>
      </w:pPr>
      <w:rPr>
        <w:rFonts w:ascii="Wingdings" w:hAnsi="Wingdings" w:hint="default"/>
      </w:rPr>
    </w:lvl>
    <w:lvl w:ilvl="3" w:tplc="ACA4ACC0">
      <w:start w:val="1"/>
      <w:numFmt w:val="bullet"/>
      <w:lvlText w:val=""/>
      <w:lvlJc w:val="left"/>
      <w:pPr>
        <w:ind w:left="2880" w:hanging="360"/>
      </w:pPr>
      <w:rPr>
        <w:rFonts w:ascii="Symbol" w:hAnsi="Symbol" w:hint="default"/>
      </w:rPr>
    </w:lvl>
    <w:lvl w:ilvl="4" w:tplc="C9426050">
      <w:start w:val="1"/>
      <w:numFmt w:val="bullet"/>
      <w:lvlText w:val="o"/>
      <w:lvlJc w:val="left"/>
      <w:pPr>
        <w:ind w:left="3600" w:hanging="360"/>
      </w:pPr>
      <w:rPr>
        <w:rFonts w:ascii="Courier New" w:hAnsi="Courier New" w:hint="default"/>
      </w:rPr>
    </w:lvl>
    <w:lvl w:ilvl="5" w:tplc="3B60300C">
      <w:start w:val="1"/>
      <w:numFmt w:val="bullet"/>
      <w:lvlText w:val=""/>
      <w:lvlJc w:val="left"/>
      <w:pPr>
        <w:ind w:left="4320" w:hanging="360"/>
      </w:pPr>
      <w:rPr>
        <w:rFonts w:ascii="Wingdings" w:hAnsi="Wingdings" w:hint="default"/>
      </w:rPr>
    </w:lvl>
    <w:lvl w:ilvl="6" w:tplc="C0364F9A">
      <w:start w:val="1"/>
      <w:numFmt w:val="bullet"/>
      <w:lvlText w:val=""/>
      <w:lvlJc w:val="left"/>
      <w:pPr>
        <w:ind w:left="5040" w:hanging="360"/>
      </w:pPr>
      <w:rPr>
        <w:rFonts w:ascii="Symbol" w:hAnsi="Symbol" w:hint="default"/>
      </w:rPr>
    </w:lvl>
    <w:lvl w:ilvl="7" w:tplc="388808EA">
      <w:start w:val="1"/>
      <w:numFmt w:val="bullet"/>
      <w:lvlText w:val="o"/>
      <w:lvlJc w:val="left"/>
      <w:pPr>
        <w:ind w:left="5760" w:hanging="360"/>
      </w:pPr>
      <w:rPr>
        <w:rFonts w:ascii="Courier New" w:hAnsi="Courier New" w:hint="default"/>
      </w:rPr>
    </w:lvl>
    <w:lvl w:ilvl="8" w:tplc="6D7835F6">
      <w:start w:val="1"/>
      <w:numFmt w:val="bullet"/>
      <w:lvlText w:val=""/>
      <w:lvlJc w:val="left"/>
      <w:pPr>
        <w:ind w:left="6480" w:hanging="360"/>
      </w:pPr>
      <w:rPr>
        <w:rFonts w:ascii="Wingdings" w:hAnsi="Wingdings" w:hint="default"/>
      </w:rPr>
    </w:lvl>
  </w:abstractNum>
  <w:abstractNum w:abstractNumId="5" w15:restartNumberingAfterBreak="0">
    <w:nsid w:val="79496E64"/>
    <w:multiLevelType w:val="hybridMultilevel"/>
    <w:tmpl w:val="7F10EE02"/>
    <w:lvl w:ilvl="0" w:tplc="664CCC30">
      <w:start w:val="1"/>
      <w:numFmt w:val="decimal"/>
      <w:lvlText w:val="%1."/>
      <w:lvlJc w:val="left"/>
      <w:pPr>
        <w:ind w:left="720" w:hanging="360"/>
      </w:pPr>
    </w:lvl>
    <w:lvl w:ilvl="1" w:tplc="C8482666">
      <w:start w:val="1"/>
      <w:numFmt w:val="lowerLetter"/>
      <w:lvlText w:val="%2."/>
      <w:lvlJc w:val="left"/>
      <w:pPr>
        <w:ind w:left="1440" w:hanging="360"/>
      </w:pPr>
    </w:lvl>
    <w:lvl w:ilvl="2" w:tplc="7C8686DE">
      <w:start w:val="1"/>
      <w:numFmt w:val="lowerRoman"/>
      <w:lvlText w:val="%3."/>
      <w:lvlJc w:val="right"/>
      <w:pPr>
        <w:ind w:left="2160" w:hanging="180"/>
      </w:pPr>
    </w:lvl>
    <w:lvl w:ilvl="3" w:tplc="97B6BFF8">
      <w:start w:val="1"/>
      <w:numFmt w:val="decimal"/>
      <w:lvlText w:val="%4."/>
      <w:lvlJc w:val="left"/>
      <w:pPr>
        <w:ind w:left="2880" w:hanging="360"/>
      </w:pPr>
    </w:lvl>
    <w:lvl w:ilvl="4" w:tplc="28745528">
      <w:start w:val="1"/>
      <w:numFmt w:val="lowerLetter"/>
      <w:lvlText w:val="%5."/>
      <w:lvlJc w:val="left"/>
      <w:pPr>
        <w:ind w:left="3600" w:hanging="360"/>
      </w:pPr>
    </w:lvl>
    <w:lvl w:ilvl="5" w:tplc="5C6059C2">
      <w:start w:val="1"/>
      <w:numFmt w:val="lowerRoman"/>
      <w:lvlText w:val="%6."/>
      <w:lvlJc w:val="right"/>
      <w:pPr>
        <w:ind w:left="4320" w:hanging="180"/>
      </w:pPr>
    </w:lvl>
    <w:lvl w:ilvl="6" w:tplc="D2BE3F60">
      <w:start w:val="1"/>
      <w:numFmt w:val="decimal"/>
      <w:lvlText w:val="%7."/>
      <w:lvlJc w:val="left"/>
      <w:pPr>
        <w:ind w:left="5040" w:hanging="360"/>
      </w:pPr>
    </w:lvl>
    <w:lvl w:ilvl="7" w:tplc="8FE0F52E">
      <w:start w:val="1"/>
      <w:numFmt w:val="lowerLetter"/>
      <w:lvlText w:val="%8."/>
      <w:lvlJc w:val="left"/>
      <w:pPr>
        <w:ind w:left="5760" w:hanging="360"/>
      </w:pPr>
    </w:lvl>
    <w:lvl w:ilvl="8" w:tplc="9344314A">
      <w:start w:val="1"/>
      <w:numFmt w:val="lowerRoman"/>
      <w:lvlText w:val="%9."/>
      <w:lvlJc w:val="right"/>
      <w:pPr>
        <w:ind w:left="6480" w:hanging="180"/>
      </w:pPr>
    </w:lvl>
  </w:abstractNum>
  <w:num w:numId="1" w16cid:durableId="1818184292">
    <w:abstractNumId w:val="4"/>
  </w:num>
  <w:num w:numId="2" w16cid:durableId="939290276">
    <w:abstractNumId w:val="5"/>
  </w:num>
  <w:num w:numId="3" w16cid:durableId="526914563">
    <w:abstractNumId w:val="0"/>
  </w:num>
  <w:num w:numId="4" w16cid:durableId="13190061">
    <w:abstractNumId w:val="3"/>
  </w:num>
  <w:num w:numId="5" w16cid:durableId="2064911522">
    <w:abstractNumId w:val="1"/>
  </w:num>
  <w:num w:numId="6" w16cid:durableId="1263537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A80"/>
    <w:rsid w:val="00022B94"/>
    <w:rsid w:val="0004422B"/>
    <w:rsid w:val="00081565"/>
    <w:rsid w:val="00106453"/>
    <w:rsid w:val="001145DB"/>
    <w:rsid w:val="001226BA"/>
    <w:rsid w:val="001D1EDA"/>
    <w:rsid w:val="00245A3C"/>
    <w:rsid w:val="004354EF"/>
    <w:rsid w:val="00792D50"/>
    <w:rsid w:val="007A1A80"/>
    <w:rsid w:val="0084281C"/>
    <w:rsid w:val="00931695"/>
    <w:rsid w:val="00A36B80"/>
    <w:rsid w:val="00A50DDC"/>
    <w:rsid w:val="00B51411"/>
    <w:rsid w:val="00C82256"/>
    <w:rsid w:val="00D3624C"/>
    <w:rsid w:val="00EC74DD"/>
    <w:rsid w:val="17C840AA"/>
    <w:rsid w:val="18E3C46E"/>
    <w:rsid w:val="1F85A3C0"/>
    <w:rsid w:val="2C39C351"/>
    <w:rsid w:val="4253B168"/>
    <w:rsid w:val="73EF8AA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F072"/>
  <w15:docId w15:val="{7EDE7ED9-1B72-4523-8DAC-6482F35F0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uiPriority w:val="10"/>
    <w:qFormat/>
    <w:pPr>
      <w:spacing w:before="120" w:after="120" w:line="240" w:lineRule="auto"/>
      <w:contextualSpacing/>
    </w:pPr>
    <w:rPr>
      <w:rFonts w:ascii="Calibri Light" w:eastAsia="Times New Roman" w:hAnsi="Calibri Light" w:cs="Times New Roman"/>
      <w:color w:val="FFFFFF"/>
      <w:kern w:val="28"/>
      <w:sz w:val="52"/>
      <w:szCs w:val="56"/>
      <w:lang w:val="pt-PT"/>
    </w:rPr>
  </w:style>
  <w:style w:type="paragraph" w:styleId="PargrafodaLista">
    <w:name w:val="List Paragraph"/>
    <w:basedOn w:val="Normal"/>
    <w:pPr>
      <w:widowControl w:val="0"/>
      <w:overflowPunct w:val="0"/>
      <w:adjustRightInd w:val="0"/>
      <w:spacing w:after="0" w:line="240" w:lineRule="auto"/>
      <w:ind w:left="720"/>
      <w:contextualSpacing/>
    </w:pPr>
    <w:rPr>
      <w:rFonts w:ascii="Arial" w:eastAsia="Times New Roman" w:hAnsi="Arial" w:cs="Arial"/>
      <w:kern w:val="28"/>
      <w:lang w:eastAsia="pt-BR"/>
    </w:rPr>
  </w:style>
  <w:style w:type="table" w:styleId="Tabelacomgrade">
    <w:name w:val="Table Grid"/>
    <w:basedOn w:val="Tabelanormal"/>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qFormat/>
    <w:pPr>
      <w:spacing w:before="100" w:beforeAutospacing="1" w:after="100" w:afterAutospacing="1" w:line="240" w:lineRule="auto"/>
    </w:pPr>
    <w:rPr>
      <w:rFonts w:ascii="Times New Roman" w:hAnsi="Times New Roman" w:cs="Times New Roman"/>
      <w:sz w:val="24"/>
      <w:szCs w:val="24"/>
      <w:lang w:eastAsia="pt-BR"/>
    </w:rPr>
  </w:style>
  <w:style w:type="character" w:customStyle="1" w:styleId="TtuloChar">
    <w:name w:val="Título Char"/>
    <w:rPr>
      <w:rFonts w:ascii="Calibri Light" w:eastAsia="Times New Roman" w:hAnsi="Calibri Light" w:cs="Times New Roman"/>
      <w:color w:val="FFFFFF"/>
      <w:w w:val="100"/>
      <w:kern w:val="28"/>
      <w:position w:val="-1"/>
      <w:sz w:val="52"/>
      <w:szCs w:val="56"/>
      <w:effect w:val="none"/>
      <w:vertAlign w:val="baseline"/>
      <w:cs w:val="0"/>
      <w:em w:val="none"/>
      <w:lang w:val="pt-PT"/>
    </w:rPr>
  </w:style>
  <w:style w:type="paragraph" w:styleId="Textodebalo">
    <w:name w:val="Balloon Text"/>
    <w:basedOn w:val="Normal"/>
    <w:qFormat/>
    <w:pPr>
      <w:spacing w:after="0" w:line="240" w:lineRule="auto"/>
    </w:pPr>
    <w:rPr>
      <w:rFonts w:ascii="Tahoma" w:hAnsi="Tahoma" w:cs="Tahoma"/>
      <w:sz w:val="16"/>
      <w:szCs w:val="16"/>
    </w:rPr>
  </w:style>
  <w:style w:type="character" w:customStyle="1" w:styleId="TextodebaloChar">
    <w:name w:val="Texto de balão Char"/>
    <w:rPr>
      <w:rFonts w:ascii="Tahoma" w:hAnsi="Tahoma" w:cs="Tahoma"/>
      <w:w w:val="100"/>
      <w:position w:val="-1"/>
      <w:sz w:val="16"/>
      <w:szCs w:val="16"/>
      <w:effect w:val="none"/>
      <w:vertAlign w:val="baseline"/>
      <w:cs w:val="0"/>
      <w:em w:val="none"/>
    </w:rPr>
  </w:style>
  <w:style w:type="paragraph" w:styleId="Cabealho">
    <w:name w:val="header"/>
    <w:basedOn w:val="Normal"/>
    <w:qFormat/>
    <w:pPr>
      <w:tabs>
        <w:tab w:val="center" w:pos="4252"/>
        <w:tab w:val="right" w:pos="8504"/>
      </w:tabs>
    </w:pPr>
  </w:style>
  <w:style w:type="character" w:customStyle="1" w:styleId="CabealhoChar">
    <w:name w:val="Cabeçalho Char"/>
    <w:rPr>
      <w:w w:val="100"/>
      <w:position w:val="-1"/>
      <w:sz w:val="22"/>
      <w:szCs w:val="22"/>
      <w:effect w:val="none"/>
      <w:vertAlign w:val="baseline"/>
      <w:cs w:val="0"/>
      <w:em w:val="none"/>
      <w:lang w:eastAsia="en-US"/>
    </w:rPr>
  </w:style>
  <w:style w:type="paragraph" w:styleId="Rodap">
    <w:name w:val="footer"/>
    <w:basedOn w:val="Normal"/>
    <w:qFormat/>
    <w:pPr>
      <w:tabs>
        <w:tab w:val="center" w:pos="4252"/>
        <w:tab w:val="right" w:pos="8504"/>
      </w:tabs>
    </w:pPr>
  </w:style>
  <w:style w:type="character" w:customStyle="1" w:styleId="RodapChar">
    <w:name w:val="Rodapé Char"/>
    <w:rPr>
      <w:w w:val="100"/>
      <w:position w:val="-1"/>
      <w:sz w:val="22"/>
      <w:szCs w:val="22"/>
      <w:effect w:val="none"/>
      <w:vertAlign w:val="baseline"/>
      <w:cs w:val="0"/>
      <w:em w:val="none"/>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288" w:type="dxa"/>
      </w:tblCellMar>
    </w:tblPr>
  </w:style>
  <w:style w:type="table" w:customStyle="1" w:styleId="a0">
    <w:basedOn w:val="NormalTable0"/>
    <w:tblPr>
      <w:tblStyleRowBandSize w:val="1"/>
      <w:tblStyleColBandSize w:val="1"/>
      <w:tblCellMar>
        <w:left w:w="108" w:type="dxa"/>
        <w:right w:w="108" w:type="dxa"/>
      </w:tblCellMar>
    </w:tblPr>
  </w:style>
  <w:style w:type="table" w:customStyle="1" w:styleId="a1">
    <w:basedOn w:val="NormalTable0"/>
    <w:tblPr>
      <w:tblStyleRowBandSize w:val="1"/>
      <w:tblStyleColBandSize w:val="1"/>
      <w:tblCellMar>
        <w:left w:w="288" w:type="dxa"/>
      </w:tblCellMar>
    </w:tblPr>
  </w:style>
  <w:style w:type="table" w:customStyle="1" w:styleId="a2">
    <w:basedOn w:val="NormalTable0"/>
    <w:tblPr>
      <w:tblStyleRowBandSize w:val="1"/>
      <w:tblStyleColBandSize w:val="1"/>
      <w:tblCellMar>
        <w:left w:w="288" w:type="dxa"/>
      </w:tblCellMar>
    </w:tblPr>
  </w:style>
  <w:style w:type="table" w:customStyle="1" w:styleId="a3">
    <w:basedOn w:val="NormalTable0"/>
    <w:tblPr>
      <w:tblStyleRowBandSize w:val="1"/>
      <w:tblStyleColBandSize w:val="1"/>
    </w:tblPr>
  </w:style>
  <w:style w:type="table" w:customStyle="1" w:styleId="a4">
    <w:basedOn w:val="NormalTable0"/>
    <w:tblPr>
      <w:tblStyleRowBandSize w:val="1"/>
      <w:tblStyleColBandSize w:val="1"/>
      <w:tblCellMar>
        <w:left w:w="288" w:type="dxa"/>
      </w:tblCellMar>
    </w:tblPr>
  </w:style>
  <w:style w:type="table" w:customStyle="1" w:styleId="a5">
    <w:basedOn w:val="NormalTable0"/>
    <w:tblPr>
      <w:tblStyleRowBandSize w:val="1"/>
      <w:tblStyleColBandSize w:val="1"/>
    </w:tblPr>
  </w:style>
  <w:style w:type="table" w:customStyle="1" w:styleId="a6">
    <w:basedOn w:val="NormalTable0"/>
    <w:tblPr>
      <w:tblStyleRowBandSize w:val="1"/>
      <w:tblStyleColBandSize w:val="1"/>
      <w:tblCellMar>
        <w:left w:w="288" w:type="dxa"/>
      </w:tblCellMar>
    </w:tblPr>
  </w:style>
  <w:style w:type="table" w:customStyle="1" w:styleId="a7">
    <w:basedOn w:val="NormalTable0"/>
    <w:tblPr>
      <w:tblStyleRowBandSize w:val="1"/>
      <w:tblStyleColBandSize w:val="1"/>
    </w:tblPr>
  </w:style>
  <w:style w:type="table" w:customStyle="1" w:styleId="a8">
    <w:basedOn w:val="NormalTable0"/>
    <w:tblPr>
      <w:tblStyleRowBandSize w:val="1"/>
      <w:tblStyleColBandSize w:val="1"/>
      <w:tblCellMar>
        <w:left w:w="288" w:type="dxa"/>
      </w:tblCellMar>
    </w:tblPr>
  </w:style>
  <w:style w:type="table" w:customStyle="1" w:styleId="a9">
    <w:basedOn w:val="NormalTable0"/>
    <w:tblPr>
      <w:tblStyleRowBandSize w:val="1"/>
      <w:tblStyleColBandSize w:val="1"/>
    </w:tblPr>
  </w:style>
  <w:style w:type="table" w:customStyle="1" w:styleId="aa">
    <w:basedOn w:val="NormalTable0"/>
    <w:tblPr>
      <w:tblStyleRowBandSize w:val="1"/>
      <w:tblStyleColBandSize w:val="1"/>
      <w:tblCellMar>
        <w:left w:w="288" w:type="dxa"/>
      </w:tblCellMar>
    </w:tblPr>
  </w:style>
  <w:style w:type="table" w:customStyle="1" w:styleId="ab">
    <w:basedOn w:val="NormalTable0"/>
    <w:tblPr>
      <w:tblStyleRowBandSize w:val="1"/>
      <w:tblStyleColBandSize w:val="1"/>
    </w:tblPr>
  </w:style>
  <w:style w:type="table" w:customStyle="1" w:styleId="ac">
    <w:basedOn w:val="NormalTable0"/>
    <w:tblPr>
      <w:tblStyleRowBandSize w:val="1"/>
      <w:tblStyleColBandSize w:val="1"/>
      <w:tblCellMar>
        <w:left w:w="288" w:type="dxa"/>
      </w:tblCellMar>
    </w:tblPr>
  </w:style>
  <w:style w:type="table" w:customStyle="1" w:styleId="ad">
    <w:basedOn w:val="NormalTable0"/>
    <w:tblPr>
      <w:tblStyleRowBandSize w:val="1"/>
      <w:tblStyleColBandSize w:val="1"/>
    </w:tblPr>
  </w:style>
  <w:style w:type="table" w:customStyle="1" w:styleId="ae">
    <w:basedOn w:val="NormalTable0"/>
    <w:tblPr>
      <w:tblStyleRowBandSize w:val="1"/>
      <w:tblStyleColBandSize w:val="1"/>
      <w:tblCellMar>
        <w:left w:w="288" w:type="dxa"/>
      </w:tblCellMar>
    </w:tblPr>
  </w:style>
  <w:style w:type="table" w:customStyle="1" w:styleId="af">
    <w:basedOn w:val="NormalTable0"/>
    <w:tblPr>
      <w:tblStyleRowBandSize w:val="1"/>
      <w:tblStyleColBandSize w:val="1"/>
    </w:tblPr>
  </w:style>
  <w:style w:type="table" w:customStyle="1" w:styleId="af0">
    <w:basedOn w:val="NormalTable0"/>
    <w:tblPr>
      <w:tblStyleRowBandSize w:val="1"/>
      <w:tblStyleColBandSize w:val="1"/>
      <w:tblCellMar>
        <w:top w:w="15" w:type="dxa"/>
        <w:left w:w="15" w:type="dxa"/>
        <w:bottom w:w="15" w:type="dxa"/>
        <w:right w:w="15" w:type="dxa"/>
      </w:tblCellMar>
    </w:tblPr>
  </w:style>
  <w:style w:type="table" w:customStyle="1" w:styleId="af1">
    <w:basedOn w:val="NormalTable0"/>
    <w:tblPr>
      <w:tblStyleRowBandSize w:val="1"/>
      <w:tblStyleColBandSize w:val="1"/>
      <w:tblCellMar>
        <w:top w:w="15" w:type="dxa"/>
        <w:left w:w="15" w:type="dxa"/>
        <w:bottom w:w="15" w:type="dxa"/>
        <w:right w:w="15" w:type="dxa"/>
      </w:tblCellMar>
    </w:tblPr>
  </w:style>
  <w:style w:type="table" w:customStyle="1" w:styleId="af2">
    <w:basedOn w:val="NormalTable0"/>
    <w:tblPr>
      <w:tblStyleRowBandSize w:val="1"/>
      <w:tblStyleColBandSize w:val="1"/>
      <w:tblCellMar>
        <w:top w:w="15" w:type="dxa"/>
        <w:left w:w="15" w:type="dxa"/>
        <w:bottom w:w="15" w:type="dxa"/>
        <w:right w:w="15" w:type="dxa"/>
      </w:tblCellMar>
    </w:tblPr>
  </w:style>
  <w:style w:type="table" w:customStyle="1" w:styleId="af3">
    <w:basedOn w:val="NormalTable0"/>
    <w:tblPr>
      <w:tblStyleRowBandSize w:val="1"/>
      <w:tblStyleColBandSize w:val="1"/>
      <w:tblCellMar>
        <w:top w:w="15" w:type="dxa"/>
        <w:left w:w="15" w:type="dxa"/>
        <w:bottom w:w="15" w:type="dxa"/>
        <w:right w:w="15" w:type="dxa"/>
      </w:tblCellMar>
    </w:tblPr>
  </w:style>
  <w:style w:type="table" w:customStyle="1" w:styleId="af4">
    <w:basedOn w:val="NormalTable0"/>
    <w:tblPr>
      <w:tblStyleRowBandSize w:val="1"/>
      <w:tblStyleColBandSize w:val="1"/>
      <w:tblCellMar>
        <w:left w:w="288" w:type="dxa"/>
      </w:tblCellMar>
    </w:tblPr>
  </w:style>
  <w:style w:type="table" w:customStyle="1" w:styleId="af5">
    <w:basedOn w:val="NormalTable0"/>
    <w:tblPr>
      <w:tblStyleRowBandSize w:val="1"/>
      <w:tblStyleColBandSize w:val="1"/>
    </w:tblPr>
  </w:style>
  <w:style w:type="table" w:customStyle="1" w:styleId="af6">
    <w:basedOn w:val="NormalTable0"/>
    <w:tblPr>
      <w:tblStyleRowBandSize w:val="1"/>
      <w:tblStyleColBandSize w:val="1"/>
      <w:tblCellMar>
        <w:left w:w="288" w:type="dxa"/>
      </w:tblCellMar>
    </w:tblPr>
  </w:style>
  <w:style w:type="table" w:customStyle="1" w:styleId="af7">
    <w:basedOn w:val="NormalTable0"/>
    <w:tblPr>
      <w:tblStyleRowBandSize w:val="1"/>
      <w:tblStyleColBandSize w:val="1"/>
    </w:tblPr>
  </w:style>
  <w:style w:type="table" w:customStyle="1" w:styleId="af8">
    <w:basedOn w:val="NormalTable0"/>
    <w:tblPr>
      <w:tblStyleRowBandSize w:val="1"/>
      <w:tblStyleColBandSize w:val="1"/>
      <w:tblCellMar>
        <w:left w:w="288" w:type="dxa"/>
      </w:tblCellMar>
    </w:tblPr>
  </w:style>
  <w:style w:type="table" w:customStyle="1" w:styleId="af9">
    <w:basedOn w:val="NormalTable0"/>
    <w:tblPr>
      <w:tblStyleRowBandSize w:val="1"/>
      <w:tblStyleColBandSize w:val="1"/>
    </w:tblPr>
  </w:style>
  <w:style w:type="character" w:styleId="nfase">
    <w:name w:val="Emphasis"/>
    <w:basedOn w:val="Fontepargpadro"/>
    <w:uiPriority w:val="20"/>
    <w:qFormat/>
    <w:rsid w:val="00022B94"/>
    <w:rPr>
      <w:i/>
      <w:iCs/>
    </w:rPr>
  </w:style>
  <w:style w:type="character" w:styleId="Forte">
    <w:name w:val="Strong"/>
    <w:basedOn w:val="Fontepargpadro"/>
    <w:uiPriority w:val="22"/>
    <w:qFormat/>
    <w:rsid w:val="000442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394137">
      <w:bodyDiv w:val="1"/>
      <w:marLeft w:val="0"/>
      <w:marRight w:val="0"/>
      <w:marTop w:val="0"/>
      <w:marBottom w:val="0"/>
      <w:divBdr>
        <w:top w:val="none" w:sz="0" w:space="0" w:color="auto"/>
        <w:left w:val="none" w:sz="0" w:space="0" w:color="auto"/>
        <w:bottom w:val="none" w:sz="0" w:space="0" w:color="auto"/>
        <w:right w:val="none" w:sz="0" w:space="0" w:color="auto"/>
      </w:divBdr>
    </w:div>
    <w:div w:id="1028025544">
      <w:bodyDiv w:val="1"/>
      <w:marLeft w:val="0"/>
      <w:marRight w:val="0"/>
      <w:marTop w:val="0"/>
      <w:marBottom w:val="0"/>
      <w:divBdr>
        <w:top w:val="none" w:sz="0" w:space="0" w:color="auto"/>
        <w:left w:val="none" w:sz="0" w:space="0" w:color="auto"/>
        <w:bottom w:val="none" w:sz="0" w:space="0" w:color="auto"/>
        <w:right w:val="none" w:sz="0" w:space="0" w:color="auto"/>
      </w:divBdr>
    </w:div>
    <w:div w:id="1036615664">
      <w:bodyDiv w:val="1"/>
      <w:marLeft w:val="0"/>
      <w:marRight w:val="0"/>
      <w:marTop w:val="0"/>
      <w:marBottom w:val="0"/>
      <w:divBdr>
        <w:top w:val="none" w:sz="0" w:space="0" w:color="auto"/>
        <w:left w:val="none" w:sz="0" w:space="0" w:color="auto"/>
        <w:bottom w:val="none" w:sz="0" w:space="0" w:color="auto"/>
        <w:right w:val="none" w:sz="0" w:space="0" w:color="auto"/>
      </w:divBdr>
    </w:div>
    <w:div w:id="1266697363">
      <w:bodyDiv w:val="1"/>
      <w:marLeft w:val="0"/>
      <w:marRight w:val="0"/>
      <w:marTop w:val="0"/>
      <w:marBottom w:val="0"/>
      <w:divBdr>
        <w:top w:val="none" w:sz="0" w:space="0" w:color="auto"/>
        <w:left w:val="none" w:sz="0" w:space="0" w:color="auto"/>
        <w:bottom w:val="none" w:sz="0" w:space="0" w:color="auto"/>
        <w:right w:val="none" w:sz="0" w:space="0" w:color="auto"/>
      </w:divBdr>
    </w:div>
    <w:div w:id="1730496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cx6+6COPI/lx+p7nrp350isyZw==">CgMxLjA4AHIhMUdRRXlWVlJULURHa2c5NzBDUDlqVEJlbGktS19YajU4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1431</Words>
  <Characters>7730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Luana</dc:creator>
  <cp:lastModifiedBy>Matheus Rocha</cp:lastModifiedBy>
  <cp:revision>2</cp:revision>
  <dcterms:created xsi:type="dcterms:W3CDTF">2026-04-23T18:43:00Z</dcterms:created>
  <dcterms:modified xsi:type="dcterms:W3CDTF">2026-04-23T18:43:00Z</dcterms:modified>
</cp:coreProperties>
</file>